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E" w:rsidRDefault="006C0B3E" w:rsidP="006C0B3E">
      <w:pPr>
        <w:jc w:val="center"/>
        <w:rPr>
          <w:rFonts w:ascii="宋体" w:eastAsia="宋体" w:hAnsi="宋体" w:cs="宋体" w:hint="eastAsia"/>
          <w:b/>
          <w:bCs/>
          <w:color w:val="3D3D3D"/>
          <w:kern w:val="0"/>
          <w:sz w:val="28"/>
          <w:szCs w:val="36"/>
        </w:rPr>
      </w:pPr>
      <w:r w:rsidRPr="006C0B3E">
        <w:rPr>
          <w:rFonts w:ascii="宋体" w:eastAsia="宋体" w:hAnsi="宋体" w:cs="宋体" w:hint="eastAsia"/>
          <w:b/>
          <w:bCs/>
          <w:color w:val="3D3D3D"/>
          <w:kern w:val="0"/>
          <w:sz w:val="28"/>
          <w:szCs w:val="36"/>
        </w:rPr>
        <w:t>关于印发《2017年山东省绿色建筑与装配式建筑工作考核要点》</w:t>
      </w:r>
    </w:p>
    <w:p w:rsidR="00B36D25" w:rsidRPr="006C0B3E" w:rsidRDefault="006C0B3E" w:rsidP="006C0B3E">
      <w:pPr>
        <w:jc w:val="center"/>
        <w:rPr>
          <w:sz w:val="18"/>
        </w:rPr>
      </w:pPr>
      <w:r w:rsidRPr="006C0B3E">
        <w:rPr>
          <w:rFonts w:ascii="宋体" w:eastAsia="宋体" w:hAnsi="宋体" w:cs="宋体" w:hint="eastAsia"/>
          <w:b/>
          <w:bCs/>
          <w:color w:val="3D3D3D"/>
          <w:kern w:val="0"/>
          <w:sz w:val="28"/>
          <w:szCs w:val="36"/>
        </w:rPr>
        <w:t>的通知</w:t>
      </w:r>
    </w:p>
    <w:p w:rsidR="006C0B3E" w:rsidRPr="00356816" w:rsidRDefault="006C0B3E" w:rsidP="006C0B3E">
      <w:pPr>
        <w:widowControl/>
        <w:spacing w:before="150" w:after="150" w:line="420" w:lineRule="atLeast"/>
        <w:jc w:val="center"/>
        <w:rPr>
          <w:rFonts w:ascii="宋体" w:eastAsia="宋体" w:hAnsi="宋体" w:cs="宋体"/>
          <w:color w:val="000000"/>
          <w:kern w:val="0"/>
          <w:szCs w:val="21"/>
        </w:rPr>
      </w:pPr>
      <w:r w:rsidRPr="00356816">
        <w:rPr>
          <w:rFonts w:ascii="宋体" w:eastAsia="宋体" w:hAnsi="宋体" w:cs="宋体" w:hint="eastAsia"/>
          <w:color w:val="000000"/>
          <w:kern w:val="0"/>
          <w:szCs w:val="21"/>
        </w:rPr>
        <w:t>鲁</w:t>
      </w:r>
      <w:proofErr w:type="gramStart"/>
      <w:r w:rsidRPr="00356816">
        <w:rPr>
          <w:rFonts w:ascii="宋体" w:eastAsia="宋体" w:hAnsi="宋体" w:cs="宋体" w:hint="eastAsia"/>
          <w:color w:val="000000"/>
          <w:kern w:val="0"/>
          <w:szCs w:val="21"/>
        </w:rPr>
        <w:t>建节科字</w:t>
      </w:r>
      <w:proofErr w:type="gramEnd"/>
      <w:r w:rsidRPr="00356816">
        <w:rPr>
          <w:rFonts w:ascii="宋体" w:eastAsia="宋体" w:hAnsi="宋体" w:cs="宋体" w:hint="eastAsia"/>
          <w:color w:val="000000"/>
          <w:kern w:val="0"/>
          <w:szCs w:val="21"/>
        </w:rPr>
        <w:t>〔2017〕10号</w:t>
      </w:r>
    </w:p>
    <w:p w:rsidR="006C0B3E" w:rsidRPr="006C0B3E" w:rsidRDefault="006C0B3E" w:rsidP="006C0B3E">
      <w:pPr>
        <w:widowControl/>
        <w:spacing w:before="150" w:after="150" w:line="360" w:lineRule="auto"/>
        <w:jc w:val="left"/>
        <w:rPr>
          <w:rFonts w:ascii="宋体" w:eastAsia="宋体" w:hAnsi="宋体" w:cs="宋体"/>
          <w:color w:val="000000"/>
          <w:kern w:val="0"/>
          <w:sz w:val="24"/>
          <w:szCs w:val="21"/>
        </w:rPr>
      </w:pPr>
      <w:r w:rsidRPr="006C0B3E">
        <w:rPr>
          <w:rFonts w:ascii="宋体" w:eastAsia="宋体" w:hAnsi="宋体" w:cs="宋体" w:hint="eastAsia"/>
          <w:color w:val="000000"/>
          <w:kern w:val="0"/>
          <w:sz w:val="24"/>
          <w:szCs w:val="21"/>
        </w:rPr>
        <w:t>各市住房城乡建委（建设局）、规划局、城管局（执法局、市政公用局）、房管局：</w:t>
      </w:r>
    </w:p>
    <w:p w:rsidR="006C0B3E" w:rsidRPr="006C0B3E" w:rsidRDefault="006C0B3E" w:rsidP="006C0B3E">
      <w:pPr>
        <w:widowControl/>
        <w:spacing w:before="150" w:after="150" w:line="360" w:lineRule="auto"/>
        <w:ind w:firstLineChars="200" w:firstLine="480"/>
        <w:jc w:val="left"/>
        <w:rPr>
          <w:rFonts w:ascii="宋体" w:eastAsia="宋体" w:hAnsi="宋体" w:cs="宋体"/>
          <w:color w:val="000000"/>
          <w:kern w:val="0"/>
          <w:sz w:val="24"/>
          <w:szCs w:val="21"/>
        </w:rPr>
      </w:pPr>
      <w:r w:rsidRPr="006C0B3E">
        <w:rPr>
          <w:rFonts w:ascii="宋体" w:eastAsia="宋体" w:hAnsi="宋体" w:cs="宋体" w:hint="eastAsia"/>
          <w:color w:val="000000"/>
          <w:kern w:val="0"/>
          <w:sz w:val="24"/>
          <w:szCs w:val="21"/>
        </w:rPr>
        <w:t>为贯彻落实国家、省关于绿色建筑与装配式建筑各项决策部署，推进重点工作全面深入开展，根据国家、省新型城镇化工</w:t>
      </w:r>
      <w:proofErr w:type="gramStart"/>
      <w:r w:rsidRPr="006C0B3E">
        <w:rPr>
          <w:rFonts w:ascii="宋体" w:eastAsia="宋体" w:hAnsi="宋体" w:cs="宋体" w:hint="eastAsia"/>
          <w:color w:val="000000"/>
          <w:kern w:val="0"/>
          <w:sz w:val="24"/>
          <w:szCs w:val="21"/>
        </w:rPr>
        <w:t>作考核</w:t>
      </w:r>
      <w:proofErr w:type="gramEnd"/>
      <w:r w:rsidRPr="006C0B3E">
        <w:rPr>
          <w:rFonts w:ascii="宋体" w:eastAsia="宋体" w:hAnsi="宋体" w:cs="宋体" w:hint="eastAsia"/>
          <w:color w:val="000000"/>
          <w:kern w:val="0"/>
          <w:sz w:val="24"/>
          <w:szCs w:val="21"/>
        </w:rPr>
        <w:t>及节能目标责任考核有关要求，省住房城乡建设厅制定了《2017年山东省绿色建筑与装配式建筑工作考核要点》，现印发你们。请对照考核内容要求，明确责任，强化措施，按时保质完成2017年各项工作任务。考核结果将纳入省政府对各市政府新型城镇化工</w:t>
      </w:r>
      <w:proofErr w:type="gramStart"/>
      <w:r w:rsidRPr="006C0B3E">
        <w:rPr>
          <w:rFonts w:ascii="宋体" w:eastAsia="宋体" w:hAnsi="宋体" w:cs="宋体" w:hint="eastAsia"/>
          <w:color w:val="000000"/>
          <w:kern w:val="0"/>
          <w:sz w:val="24"/>
          <w:szCs w:val="21"/>
        </w:rPr>
        <w:t>作考核</w:t>
      </w:r>
      <w:proofErr w:type="gramEnd"/>
      <w:r w:rsidRPr="006C0B3E">
        <w:rPr>
          <w:rFonts w:ascii="宋体" w:eastAsia="宋体" w:hAnsi="宋体" w:cs="宋体" w:hint="eastAsia"/>
          <w:color w:val="000000"/>
          <w:kern w:val="0"/>
          <w:sz w:val="24"/>
          <w:szCs w:val="21"/>
        </w:rPr>
        <w:t>及节能目标责任考核，并通报各市人民政府。</w:t>
      </w:r>
    </w:p>
    <w:p w:rsidR="006C0B3E" w:rsidRPr="006C0B3E" w:rsidRDefault="006C0B3E" w:rsidP="006C0B3E">
      <w:pPr>
        <w:widowControl/>
        <w:spacing w:before="150" w:after="150" w:line="360" w:lineRule="auto"/>
        <w:jc w:val="left"/>
        <w:rPr>
          <w:rFonts w:ascii="宋体" w:eastAsia="宋体" w:hAnsi="宋体" w:cs="宋体"/>
          <w:color w:val="000000"/>
          <w:kern w:val="0"/>
          <w:sz w:val="24"/>
          <w:szCs w:val="21"/>
        </w:rPr>
      </w:pPr>
      <w:r w:rsidRPr="006C0B3E">
        <w:rPr>
          <w:rFonts w:ascii="宋体" w:eastAsia="宋体" w:hAnsi="宋体" w:cs="宋体" w:hint="eastAsia"/>
          <w:color w:val="000000"/>
          <w:kern w:val="0"/>
          <w:sz w:val="24"/>
          <w:szCs w:val="21"/>
        </w:rPr>
        <w:t>附件：</w:t>
      </w:r>
    </w:p>
    <w:p w:rsidR="006C0B3E" w:rsidRPr="006C0B3E" w:rsidRDefault="006C0B3E" w:rsidP="006C0B3E">
      <w:pPr>
        <w:widowControl/>
        <w:spacing w:before="150" w:after="150" w:line="360" w:lineRule="auto"/>
        <w:jc w:val="left"/>
        <w:rPr>
          <w:rFonts w:ascii="宋体" w:eastAsia="宋体" w:hAnsi="宋体" w:cs="宋体"/>
          <w:color w:val="000000"/>
          <w:kern w:val="0"/>
          <w:sz w:val="24"/>
          <w:szCs w:val="21"/>
        </w:rPr>
      </w:pPr>
      <w:hyperlink r:id="rId5" w:history="1">
        <w:r w:rsidRPr="006C0B3E">
          <w:rPr>
            <w:rFonts w:ascii="宋体" w:eastAsia="宋体" w:hAnsi="宋体" w:cs="宋体" w:hint="eastAsia"/>
            <w:color w:val="3D3D3D"/>
            <w:kern w:val="0"/>
            <w:sz w:val="24"/>
            <w:szCs w:val="21"/>
          </w:rPr>
          <w:t>1. 2017年山东省绿色建筑与装配式建筑工作考核要点</w:t>
        </w:r>
      </w:hyperlink>
    </w:p>
    <w:p w:rsidR="006C0B3E" w:rsidRPr="006C0B3E" w:rsidRDefault="006C0B3E" w:rsidP="006C0B3E">
      <w:pPr>
        <w:widowControl/>
        <w:spacing w:before="150" w:after="150" w:line="360" w:lineRule="auto"/>
        <w:jc w:val="left"/>
        <w:rPr>
          <w:rFonts w:ascii="宋体" w:eastAsia="宋体" w:hAnsi="宋体" w:cs="宋体"/>
          <w:color w:val="000000"/>
          <w:kern w:val="0"/>
          <w:sz w:val="24"/>
          <w:szCs w:val="21"/>
        </w:rPr>
      </w:pPr>
      <w:hyperlink r:id="rId6" w:history="1">
        <w:r w:rsidRPr="006C0B3E">
          <w:rPr>
            <w:rFonts w:ascii="宋体" w:eastAsia="宋体" w:hAnsi="宋体" w:cs="宋体" w:hint="eastAsia"/>
            <w:color w:val="3D3D3D"/>
            <w:kern w:val="0"/>
            <w:sz w:val="24"/>
            <w:szCs w:val="21"/>
          </w:rPr>
          <w:t>2. 2017年山东省绿色建筑与装配式建筑目标任务分解表</w:t>
        </w:r>
      </w:hyperlink>
    </w:p>
    <w:p w:rsidR="006C0B3E" w:rsidRPr="006C0B3E" w:rsidRDefault="006C0B3E" w:rsidP="006C0B3E">
      <w:pPr>
        <w:widowControl/>
        <w:spacing w:before="150" w:after="150" w:line="360" w:lineRule="auto"/>
        <w:jc w:val="right"/>
        <w:rPr>
          <w:rFonts w:ascii="宋体" w:eastAsia="宋体" w:hAnsi="宋体" w:cs="宋体"/>
          <w:color w:val="000000"/>
          <w:kern w:val="0"/>
          <w:sz w:val="24"/>
          <w:szCs w:val="21"/>
        </w:rPr>
      </w:pPr>
      <w:r w:rsidRPr="006C0B3E">
        <w:rPr>
          <w:rFonts w:ascii="宋体" w:eastAsia="宋体" w:hAnsi="宋体" w:cs="宋体" w:hint="eastAsia"/>
          <w:color w:val="000000"/>
          <w:kern w:val="0"/>
          <w:sz w:val="24"/>
          <w:szCs w:val="21"/>
        </w:rPr>
        <w:t>山东省住房和城乡建设厅</w:t>
      </w:r>
    </w:p>
    <w:p w:rsidR="00B36D25" w:rsidRPr="006C0B3E" w:rsidRDefault="006C0B3E" w:rsidP="006C0B3E">
      <w:pPr>
        <w:spacing w:line="360" w:lineRule="auto"/>
        <w:jc w:val="right"/>
        <w:rPr>
          <w:sz w:val="24"/>
        </w:rPr>
      </w:pPr>
      <w:r w:rsidRPr="006C0B3E">
        <w:rPr>
          <w:rFonts w:ascii="宋体" w:eastAsia="宋体" w:hAnsi="宋体" w:cs="宋体" w:hint="eastAsia"/>
          <w:color w:val="000000"/>
          <w:kern w:val="0"/>
          <w:sz w:val="24"/>
          <w:szCs w:val="21"/>
        </w:rPr>
        <w:t>2017年4月24日</w:t>
      </w:r>
    </w:p>
    <w:p w:rsidR="00B36D25" w:rsidRDefault="00B36D25"/>
    <w:p w:rsidR="00B36D25" w:rsidRDefault="00B36D25"/>
    <w:p w:rsidR="00B36D25" w:rsidRDefault="00B36D25"/>
    <w:p w:rsidR="00B36D25" w:rsidRDefault="00B36D25"/>
    <w:p w:rsidR="00B36D25" w:rsidRDefault="00B36D25"/>
    <w:p w:rsidR="00B36D25" w:rsidRDefault="00B36D25"/>
    <w:p w:rsidR="00B36D25" w:rsidRDefault="00B36D25"/>
    <w:p w:rsidR="00B36D25" w:rsidRDefault="00B36D25"/>
    <w:p w:rsidR="00B36D25" w:rsidRDefault="00B36D25"/>
    <w:p w:rsidR="00B36D25" w:rsidRDefault="00B36D25"/>
    <w:p w:rsidR="00B36D25" w:rsidRDefault="00B36D25"/>
    <w:p w:rsidR="00B36D25" w:rsidRDefault="00B36D25"/>
    <w:p w:rsidR="00B36D25" w:rsidRDefault="00B36D25">
      <w:pPr>
        <w:rPr>
          <w:rFonts w:hint="eastAsia"/>
        </w:rPr>
      </w:pPr>
    </w:p>
    <w:p w:rsidR="00116FF9" w:rsidRDefault="00116FF9">
      <w:pPr>
        <w:rPr>
          <w:rFonts w:hint="eastAsia"/>
        </w:rPr>
      </w:pPr>
    </w:p>
    <w:p w:rsidR="00116FF9" w:rsidRDefault="00116FF9">
      <w:pPr>
        <w:rPr>
          <w:rFonts w:hint="eastAsia"/>
        </w:rPr>
      </w:pPr>
    </w:p>
    <w:p w:rsidR="00116FF9" w:rsidRDefault="00116FF9">
      <w:pPr>
        <w:rPr>
          <w:rFonts w:hint="eastAsia"/>
        </w:rPr>
      </w:pPr>
    </w:p>
    <w:p w:rsidR="00116FF9" w:rsidRDefault="00116FF9">
      <w:pPr>
        <w:rPr>
          <w:rFonts w:hint="eastAsia"/>
        </w:rPr>
      </w:pPr>
    </w:p>
    <w:p w:rsidR="00116FF9" w:rsidRDefault="00116FF9">
      <w:pPr>
        <w:rPr>
          <w:rFonts w:hint="eastAsia"/>
        </w:rPr>
      </w:pPr>
    </w:p>
    <w:p w:rsidR="00116FF9" w:rsidRDefault="00116FF9">
      <w:pPr>
        <w:rPr>
          <w:rFonts w:hint="eastAsia"/>
        </w:rPr>
      </w:pPr>
    </w:p>
    <w:p w:rsidR="00116FF9" w:rsidRDefault="00116FF9">
      <w:pPr>
        <w:rPr>
          <w:rFonts w:hint="eastAsia"/>
        </w:rPr>
      </w:pPr>
    </w:p>
    <w:p w:rsidR="00116FF9" w:rsidRDefault="00116FF9"/>
    <w:p w:rsidR="00B36D25" w:rsidRDefault="00B36D25"/>
    <w:p w:rsidR="00B36D25" w:rsidRDefault="00B36D25"/>
    <w:p w:rsidR="005B7FF6" w:rsidRDefault="005B7FF6" w:rsidP="005B7FF6">
      <w:pPr>
        <w:widowControl/>
        <w:jc w:val="left"/>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附件1：</w:t>
      </w:r>
    </w:p>
    <w:p w:rsidR="005B7FF6" w:rsidRDefault="005B7FF6" w:rsidP="005B7FF6">
      <w:pPr>
        <w:spacing w:line="640" w:lineRule="exact"/>
        <w:ind w:right="33"/>
        <w:jc w:val="center"/>
        <w:rPr>
          <w:rFonts w:ascii="宋体" w:eastAsia="宋体" w:hAnsi="宋体"/>
          <w:b/>
          <w:color w:val="000000"/>
          <w:sz w:val="44"/>
          <w:szCs w:val="44"/>
        </w:rPr>
      </w:pPr>
    </w:p>
    <w:p w:rsidR="005B7FF6" w:rsidRDefault="005B7FF6" w:rsidP="005B7FF6">
      <w:pPr>
        <w:spacing w:line="640" w:lineRule="exact"/>
        <w:ind w:right="33"/>
        <w:jc w:val="center"/>
        <w:rPr>
          <w:rFonts w:ascii="宋体" w:hAnsi="宋体"/>
          <w:b/>
          <w:color w:val="000000"/>
          <w:sz w:val="44"/>
          <w:szCs w:val="44"/>
        </w:rPr>
      </w:pPr>
      <w:r>
        <w:rPr>
          <w:rFonts w:ascii="宋体" w:hAnsi="宋体" w:hint="eastAsia"/>
          <w:b/>
          <w:color w:val="000000"/>
          <w:sz w:val="44"/>
          <w:szCs w:val="44"/>
        </w:rPr>
        <w:t>2017年山东省绿色建筑与装配式建筑</w:t>
      </w:r>
    </w:p>
    <w:p w:rsidR="005B7FF6" w:rsidRDefault="005B7FF6" w:rsidP="005B7FF6">
      <w:pPr>
        <w:spacing w:line="640" w:lineRule="exact"/>
        <w:ind w:right="33"/>
        <w:jc w:val="center"/>
        <w:rPr>
          <w:rFonts w:ascii="宋体" w:hAnsi="宋体"/>
          <w:b/>
          <w:color w:val="000000"/>
          <w:sz w:val="44"/>
          <w:szCs w:val="44"/>
        </w:rPr>
      </w:pPr>
      <w:r>
        <w:rPr>
          <w:rFonts w:ascii="宋体" w:hAnsi="宋体" w:hint="eastAsia"/>
          <w:b/>
          <w:color w:val="000000"/>
          <w:sz w:val="44"/>
          <w:szCs w:val="44"/>
        </w:rPr>
        <w:t>工作考核要点</w:t>
      </w:r>
    </w:p>
    <w:p w:rsidR="005B7FF6" w:rsidRDefault="005B7FF6" w:rsidP="005B7FF6">
      <w:pPr>
        <w:spacing w:line="640" w:lineRule="exact"/>
        <w:ind w:right="33" w:firstLineChars="200" w:firstLine="640"/>
        <w:rPr>
          <w:rFonts w:ascii="仿宋_GB2312" w:eastAsia="仿宋_GB2312" w:hAnsi="仿宋" w:cs="仿宋"/>
          <w:color w:val="000000"/>
          <w:sz w:val="32"/>
          <w:szCs w:val="32"/>
        </w:rPr>
      </w:pPr>
    </w:p>
    <w:p w:rsidR="005B7FF6" w:rsidRDefault="005B7FF6" w:rsidP="005B7FF6">
      <w:pPr>
        <w:spacing w:line="640" w:lineRule="exact"/>
        <w:ind w:right="33"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为贯彻落实国家、省关于绿色建筑与装配式建筑工作的决策部署，推进各重点工作全面深入开展，根据国家、省新型城镇化工</w:t>
      </w:r>
      <w:proofErr w:type="gramStart"/>
      <w:r>
        <w:rPr>
          <w:rFonts w:ascii="仿宋_GB2312" w:eastAsia="仿宋_GB2312" w:hAnsi="仿宋" w:cs="仿宋" w:hint="eastAsia"/>
          <w:color w:val="000000"/>
          <w:sz w:val="32"/>
          <w:szCs w:val="32"/>
        </w:rPr>
        <w:t>作考核</w:t>
      </w:r>
      <w:proofErr w:type="gramEnd"/>
      <w:r>
        <w:rPr>
          <w:rFonts w:ascii="仿宋_GB2312" w:eastAsia="仿宋_GB2312" w:hAnsi="仿宋" w:cs="仿宋" w:hint="eastAsia"/>
          <w:color w:val="000000"/>
          <w:sz w:val="32"/>
          <w:szCs w:val="32"/>
        </w:rPr>
        <w:t>及节能目标责任考核有关要求，提出考核要点如下：</w:t>
      </w:r>
    </w:p>
    <w:p w:rsidR="005B7FF6" w:rsidRDefault="005B7FF6" w:rsidP="005B7FF6">
      <w:pPr>
        <w:spacing w:line="640" w:lineRule="exact"/>
        <w:ind w:right="33" w:firstLineChars="200" w:firstLine="640"/>
        <w:rPr>
          <w:rFonts w:ascii="黑体" w:eastAsia="黑体" w:hAnsi="黑体" w:cs="Times New Roman"/>
          <w:color w:val="000000"/>
          <w:sz w:val="32"/>
          <w:szCs w:val="32"/>
        </w:rPr>
      </w:pPr>
      <w:r>
        <w:rPr>
          <w:rFonts w:ascii="黑体" w:eastAsia="黑体" w:hAnsi="黑体" w:hint="eastAsia"/>
          <w:color w:val="000000"/>
          <w:sz w:val="32"/>
          <w:szCs w:val="32"/>
        </w:rPr>
        <w:t>一、装配式建筑</w:t>
      </w:r>
    </w:p>
    <w:p w:rsidR="005B7FF6" w:rsidRDefault="005B7FF6" w:rsidP="005B7FF6">
      <w:pPr>
        <w:spacing w:line="640" w:lineRule="exact"/>
        <w:ind w:right="33" w:firstLineChars="200" w:firstLine="640"/>
        <w:rPr>
          <w:rFonts w:ascii="仿宋" w:eastAsia="仿宋" w:hAnsi="仿宋" w:cs="仿宋"/>
          <w:sz w:val="32"/>
          <w:szCs w:val="32"/>
        </w:rPr>
      </w:pPr>
      <w:r>
        <w:rPr>
          <w:rFonts w:ascii="仿宋" w:eastAsia="仿宋" w:hAnsi="仿宋" w:cs="仿宋" w:hint="eastAsia"/>
          <w:color w:val="000000"/>
          <w:sz w:val="32"/>
          <w:szCs w:val="32"/>
        </w:rPr>
        <w:t>1.建立政府牵头的</w:t>
      </w:r>
      <w:r>
        <w:rPr>
          <w:rFonts w:ascii="仿宋" w:eastAsia="仿宋" w:hAnsi="仿宋" w:cs="仿宋" w:hint="eastAsia"/>
          <w:sz w:val="32"/>
          <w:szCs w:val="32"/>
        </w:rPr>
        <w:t>工作协调机制，有健全的装配式建筑管理机构，在工作人员、经费、专家队伍建设等方面有保障措施。</w:t>
      </w:r>
    </w:p>
    <w:p w:rsidR="005B7FF6" w:rsidRDefault="005B7FF6" w:rsidP="005B7FF6">
      <w:pPr>
        <w:spacing w:line="640" w:lineRule="exact"/>
        <w:ind w:right="33" w:firstLineChars="200" w:firstLine="640"/>
        <w:rPr>
          <w:rFonts w:ascii="仿宋" w:eastAsia="仿宋" w:hAnsi="仿宋" w:cs="仿宋"/>
          <w:sz w:val="32"/>
          <w:szCs w:val="32"/>
        </w:rPr>
      </w:pPr>
      <w:r>
        <w:rPr>
          <w:rFonts w:ascii="仿宋" w:eastAsia="仿宋" w:hAnsi="仿宋" w:cs="仿宋" w:hint="eastAsia"/>
          <w:sz w:val="32"/>
          <w:szCs w:val="32"/>
        </w:rPr>
        <w:t>2.以政府名义出台发展装配式建筑的政策文件，制定装配式建筑发展规划、年度计划并组织实施，出台财政、金融、土地等方面的激励措施。</w:t>
      </w:r>
    </w:p>
    <w:p w:rsidR="005B7FF6" w:rsidRDefault="005B7FF6" w:rsidP="005B7FF6">
      <w:pPr>
        <w:spacing w:line="640" w:lineRule="exact"/>
        <w:ind w:right="33" w:firstLineChars="200" w:firstLine="640"/>
        <w:rPr>
          <w:rFonts w:ascii="仿宋" w:eastAsia="仿宋" w:hAnsi="仿宋" w:cs="仿宋"/>
          <w:sz w:val="32"/>
          <w:szCs w:val="32"/>
        </w:rPr>
      </w:pPr>
      <w:r>
        <w:rPr>
          <w:rFonts w:ascii="仿宋" w:eastAsia="仿宋" w:hAnsi="仿宋" w:cs="仿宋" w:hint="eastAsia"/>
          <w:sz w:val="32"/>
          <w:szCs w:val="32"/>
        </w:rPr>
        <w:t>3.建立健全装配式建筑管理机制，土地使用合同、建设用地规划条件、项目建设条件意见书等明确装配式建筑比例和住宅全装修要求；保障性住房及中小学、幼儿园、医院、体育场馆等政府投资工程全面采用装配式技术建造；住宅工程在强制推行预制楼梯、叠合楼板等部品部件基础上，大力推广应用预制内、外墙板等预制构件；在道路桥梁、综合管廊、市政管沟等基础设施工程中，积极推广应用装配式技术。</w:t>
      </w:r>
    </w:p>
    <w:p w:rsidR="005B7FF6" w:rsidRDefault="005B7FF6" w:rsidP="005B7FF6">
      <w:pPr>
        <w:spacing w:line="640" w:lineRule="exact"/>
        <w:ind w:right="33" w:firstLineChars="200" w:firstLine="640"/>
        <w:rPr>
          <w:rFonts w:ascii="仿宋" w:eastAsia="仿宋" w:hAnsi="仿宋" w:cs="仿宋"/>
          <w:sz w:val="32"/>
          <w:szCs w:val="32"/>
        </w:rPr>
      </w:pPr>
      <w:r>
        <w:rPr>
          <w:rFonts w:ascii="仿宋" w:eastAsia="仿宋" w:hAnsi="仿宋" w:cs="仿宋" w:hint="eastAsia"/>
          <w:sz w:val="32"/>
          <w:szCs w:val="32"/>
        </w:rPr>
        <w:t>4.加快建设装配式建筑项目，推广工程总承包模式及BIM等新技术，推行装配式建筑装饰装修与主体结构、机电设备协同施工，新开工民用装配式建筑面积达到省里下达的任务指标。</w:t>
      </w:r>
    </w:p>
    <w:p w:rsidR="005B7FF6" w:rsidRDefault="005B7FF6" w:rsidP="005B7FF6">
      <w:pPr>
        <w:spacing w:line="640" w:lineRule="exact"/>
        <w:ind w:right="33" w:firstLineChars="200" w:firstLine="640"/>
        <w:rPr>
          <w:rFonts w:ascii="黑体" w:eastAsia="黑体" w:hAnsi="黑体" w:cs="Times New Roman"/>
          <w:color w:val="000000"/>
          <w:sz w:val="32"/>
          <w:szCs w:val="32"/>
        </w:rPr>
      </w:pPr>
      <w:r>
        <w:rPr>
          <w:rFonts w:ascii="仿宋" w:eastAsia="仿宋" w:hAnsi="仿宋" w:cs="仿宋" w:hint="eastAsia"/>
          <w:sz w:val="32"/>
          <w:szCs w:val="32"/>
        </w:rPr>
        <w:lastRenderedPageBreak/>
        <w:t>5.扶持发展装配式建筑产业，确定当地主导的技术、产品体系，落实产业发展报告制度，有已投产的预制混凝土构件生产线、钢结构住宅生产线等。</w:t>
      </w:r>
    </w:p>
    <w:p w:rsidR="005B7FF6" w:rsidRDefault="005B7FF6" w:rsidP="005B7FF6">
      <w:pPr>
        <w:spacing w:line="640" w:lineRule="exact"/>
        <w:ind w:right="33" w:firstLineChars="200" w:firstLine="640"/>
        <w:rPr>
          <w:rFonts w:ascii="黑体" w:eastAsia="黑体" w:hAnsi="黑体"/>
          <w:color w:val="000000"/>
          <w:sz w:val="32"/>
          <w:szCs w:val="32"/>
        </w:rPr>
      </w:pPr>
      <w:r>
        <w:rPr>
          <w:rFonts w:ascii="黑体" w:eastAsia="黑体" w:hAnsi="黑体" w:hint="eastAsia"/>
          <w:color w:val="000000"/>
          <w:sz w:val="32"/>
          <w:szCs w:val="32"/>
        </w:rPr>
        <w:t>二、绿色建筑</w:t>
      </w:r>
    </w:p>
    <w:p w:rsidR="005B7FF6" w:rsidRDefault="005B7FF6" w:rsidP="005B7FF6">
      <w:pPr>
        <w:spacing w:line="640" w:lineRule="exact"/>
        <w:ind w:right="33" w:firstLineChars="200" w:firstLine="640"/>
        <w:rPr>
          <w:rFonts w:ascii="仿宋_GB2312" w:eastAsia="仿宋_GB2312" w:hAnsi="仿宋" w:cs="仿宋"/>
          <w:snapToGrid w:val="0"/>
          <w:color w:val="000000"/>
          <w:sz w:val="32"/>
          <w:szCs w:val="32"/>
        </w:rPr>
      </w:pPr>
      <w:r>
        <w:rPr>
          <w:rFonts w:ascii="仿宋_GB2312" w:eastAsia="仿宋_GB2312" w:hAnsi="仿宋" w:cs="仿宋" w:hint="eastAsia"/>
          <w:sz w:val="32"/>
          <w:szCs w:val="32"/>
        </w:rPr>
        <w:t>1</w:t>
      </w:r>
      <w:r>
        <w:rPr>
          <w:rFonts w:ascii="仿宋" w:eastAsia="仿宋" w:hAnsi="仿宋" w:cs="仿宋" w:hint="eastAsia"/>
          <w:sz w:val="32"/>
          <w:szCs w:val="32"/>
        </w:rPr>
        <w:t>.</w:t>
      </w:r>
      <w:r>
        <w:rPr>
          <w:rFonts w:ascii="仿宋_GB2312" w:eastAsia="仿宋_GB2312" w:hAnsi="仿宋" w:cs="仿宋" w:hint="eastAsia"/>
          <w:snapToGrid w:val="0"/>
          <w:color w:val="000000"/>
          <w:sz w:val="32"/>
          <w:szCs w:val="32"/>
        </w:rPr>
        <w:t>建立完善绿色建筑全过程监管机制，认真执行绿色建筑规划、设计、施工等标准规范，</w:t>
      </w:r>
      <w:r>
        <w:rPr>
          <w:rFonts w:ascii="仿宋_GB2312" w:eastAsia="仿宋_GB2312" w:hAnsi="仿宋" w:cs="仿宋" w:hint="eastAsia"/>
          <w:sz w:val="32"/>
          <w:szCs w:val="32"/>
        </w:rPr>
        <w:t>县城及以上城市的城区规划建设用地范围内的规划区新</w:t>
      </w:r>
      <w:r>
        <w:rPr>
          <w:rFonts w:ascii="仿宋_GB2312" w:eastAsia="仿宋_GB2312" w:hAnsi="仿宋" w:cs="仿宋" w:hint="eastAsia"/>
          <w:color w:val="000000"/>
          <w:sz w:val="32"/>
          <w:szCs w:val="32"/>
        </w:rPr>
        <w:t>建建筑</w:t>
      </w:r>
      <w:r>
        <w:rPr>
          <w:rFonts w:ascii="仿宋_GB2312" w:eastAsia="仿宋_GB2312" w:hAnsi="仿宋" w:cs="仿宋" w:hint="eastAsia"/>
          <w:snapToGrid w:val="0"/>
          <w:sz w:val="32"/>
          <w:szCs w:val="32"/>
        </w:rPr>
        <w:t>全面执行</w:t>
      </w:r>
      <w:r>
        <w:rPr>
          <w:rFonts w:ascii="仿宋_GB2312" w:eastAsia="仿宋_GB2312" w:hAnsi="仿宋" w:cs="仿宋" w:hint="eastAsia"/>
          <w:snapToGrid w:val="0"/>
          <w:color w:val="000000"/>
          <w:sz w:val="32"/>
          <w:szCs w:val="32"/>
        </w:rPr>
        <w:t>绿色建筑设计标准，设计阶段标准执行率不低于96%。</w:t>
      </w:r>
    </w:p>
    <w:p w:rsidR="005B7FF6" w:rsidRDefault="005B7FF6" w:rsidP="005B7FF6">
      <w:pPr>
        <w:spacing w:line="640" w:lineRule="exact"/>
        <w:ind w:right="33" w:firstLineChars="200" w:firstLine="640"/>
        <w:rPr>
          <w:rFonts w:ascii="仿宋_GB2312" w:eastAsia="仿宋_GB2312" w:hAnsi="仿宋" w:cs="仿宋"/>
          <w:snapToGrid w:val="0"/>
          <w:color w:val="000000"/>
          <w:sz w:val="32"/>
          <w:szCs w:val="32"/>
        </w:rPr>
      </w:pPr>
      <w:r>
        <w:rPr>
          <w:rFonts w:ascii="仿宋_GB2312" w:eastAsia="仿宋_GB2312" w:hAnsi="仿宋" w:cs="仿宋" w:hint="eastAsia"/>
          <w:snapToGrid w:val="0"/>
          <w:color w:val="000000"/>
          <w:sz w:val="32"/>
          <w:szCs w:val="32"/>
        </w:rPr>
        <w:t>2</w:t>
      </w:r>
      <w:r>
        <w:rPr>
          <w:rFonts w:ascii="仿宋" w:eastAsia="仿宋" w:hAnsi="仿宋" w:cs="仿宋" w:hint="eastAsia"/>
          <w:sz w:val="32"/>
          <w:szCs w:val="32"/>
        </w:rPr>
        <w:t>.</w:t>
      </w:r>
      <w:r>
        <w:rPr>
          <w:rFonts w:ascii="仿宋_GB2312" w:eastAsia="仿宋_GB2312" w:hAnsi="仿宋" w:cs="仿宋" w:hint="eastAsia"/>
          <w:snapToGrid w:val="0"/>
          <w:color w:val="000000"/>
          <w:sz w:val="32"/>
          <w:szCs w:val="32"/>
        </w:rPr>
        <w:t>规范开展绿色建筑评价标识，大力发展高星级绿色建筑，二星级及以上绿色建筑评价标识面积达到省下达的推广任务。</w:t>
      </w:r>
    </w:p>
    <w:p w:rsidR="005B7FF6" w:rsidRDefault="005B7FF6" w:rsidP="005B7FF6">
      <w:pPr>
        <w:spacing w:line="640" w:lineRule="exact"/>
        <w:ind w:right="33" w:firstLineChars="200" w:firstLine="640"/>
        <w:rPr>
          <w:rFonts w:ascii="仿宋_GB2312" w:eastAsia="仿宋_GB2312" w:hAnsi="仿宋" w:cs="仿宋"/>
          <w:snapToGrid w:val="0"/>
          <w:color w:val="000000"/>
          <w:sz w:val="32"/>
          <w:szCs w:val="32"/>
        </w:rPr>
      </w:pPr>
      <w:r>
        <w:rPr>
          <w:rFonts w:ascii="仿宋_GB2312" w:eastAsia="仿宋_GB2312" w:hAnsi="仿宋" w:cs="仿宋" w:hint="eastAsia"/>
          <w:snapToGrid w:val="0"/>
          <w:color w:val="000000"/>
          <w:sz w:val="32"/>
          <w:szCs w:val="32"/>
        </w:rPr>
        <w:t>3</w:t>
      </w:r>
      <w:r>
        <w:rPr>
          <w:rFonts w:ascii="仿宋" w:eastAsia="仿宋" w:hAnsi="仿宋" w:cs="仿宋" w:hint="eastAsia"/>
          <w:sz w:val="32"/>
          <w:szCs w:val="32"/>
        </w:rPr>
        <w:t>.</w:t>
      </w:r>
      <w:r>
        <w:rPr>
          <w:rFonts w:ascii="仿宋_GB2312" w:eastAsia="仿宋_GB2312" w:hAnsi="仿宋" w:cs="仿宋" w:hint="eastAsia"/>
          <w:snapToGrid w:val="0"/>
          <w:color w:val="000000"/>
          <w:sz w:val="32"/>
          <w:szCs w:val="32"/>
        </w:rPr>
        <w:t>组织实施好辖区内省级绿色生态示范城区（城镇）及绿色建筑、绿色</w:t>
      </w:r>
      <w:proofErr w:type="gramStart"/>
      <w:r>
        <w:rPr>
          <w:rFonts w:ascii="仿宋_GB2312" w:eastAsia="仿宋_GB2312" w:hAnsi="仿宋" w:cs="仿宋" w:hint="eastAsia"/>
          <w:snapToGrid w:val="0"/>
          <w:color w:val="000000"/>
          <w:sz w:val="32"/>
          <w:szCs w:val="32"/>
        </w:rPr>
        <w:t>智慧住</w:t>
      </w:r>
      <w:proofErr w:type="gramEnd"/>
      <w:r>
        <w:rPr>
          <w:rFonts w:ascii="仿宋_GB2312" w:eastAsia="仿宋_GB2312" w:hAnsi="仿宋" w:cs="仿宋" w:hint="eastAsia"/>
          <w:snapToGrid w:val="0"/>
          <w:color w:val="000000"/>
          <w:sz w:val="32"/>
          <w:szCs w:val="32"/>
        </w:rPr>
        <w:t>区等示范创建，实施进度和质量符合示范建设要求。</w:t>
      </w:r>
    </w:p>
    <w:p w:rsidR="005B7FF6" w:rsidRDefault="005B7FF6" w:rsidP="005B7FF6">
      <w:pPr>
        <w:spacing w:line="640" w:lineRule="exact"/>
        <w:ind w:right="33" w:firstLineChars="200" w:firstLine="640"/>
        <w:rPr>
          <w:rFonts w:ascii="仿宋" w:eastAsia="仿宋" w:hAnsi="仿宋" w:cs="仿宋"/>
          <w:sz w:val="32"/>
          <w:szCs w:val="32"/>
        </w:rPr>
      </w:pPr>
      <w:r>
        <w:rPr>
          <w:rFonts w:ascii="仿宋_GB2312" w:eastAsia="仿宋_GB2312" w:hAnsi="仿宋" w:cs="仿宋" w:hint="eastAsia"/>
          <w:snapToGrid w:val="0"/>
          <w:color w:val="000000"/>
          <w:sz w:val="32"/>
          <w:szCs w:val="32"/>
        </w:rPr>
        <w:t>4</w:t>
      </w:r>
      <w:r>
        <w:rPr>
          <w:rFonts w:ascii="仿宋" w:eastAsia="仿宋" w:hAnsi="仿宋" w:cs="仿宋" w:hint="eastAsia"/>
          <w:sz w:val="32"/>
          <w:szCs w:val="32"/>
        </w:rPr>
        <w:t>.</w:t>
      </w:r>
      <w:r>
        <w:rPr>
          <w:rFonts w:ascii="仿宋_GB2312" w:eastAsia="仿宋_GB2312" w:hAnsi="仿宋" w:cs="仿宋" w:hint="eastAsia"/>
          <w:snapToGrid w:val="0"/>
          <w:color w:val="000000"/>
          <w:sz w:val="32"/>
          <w:szCs w:val="32"/>
        </w:rPr>
        <w:t>认真做好建筑节能技术产品应用认定工作，积极开展绿色建材评价标识，加快发展绿色建材产业。</w:t>
      </w:r>
    </w:p>
    <w:p w:rsidR="005B7FF6" w:rsidRDefault="005B7FF6" w:rsidP="005B7FF6">
      <w:pPr>
        <w:spacing w:line="640" w:lineRule="exact"/>
        <w:ind w:right="33"/>
        <w:rPr>
          <w:rFonts w:ascii="黑体" w:eastAsia="黑体" w:hAnsi="黑体" w:cs="Times New Roman"/>
          <w:color w:val="000000"/>
          <w:sz w:val="32"/>
          <w:szCs w:val="32"/>
        </w:rPr>
      </w:pPr>
      <w:r>
        <w:rPr>
          <w:rFonts w:ascii="黑体" w:eastAsia="黑体" w:hAnsi="黑体" w:hint="eastAsia"/>
          <w:color w:val="000000"/>
          <w:sz w:val="32"/>
          <w:szCs w:val="32"/>
        </w:rPr>
        <w:t>三、建筑节能</w:t>
      </w:r>
    </w:p>
    <w:p w:rsidR="005B7FF6" w:rsidRDefault="005B7FF6" w:rsidP="005B7FF6">
      <w:pPr>
        <w:spacing w:line="640" w:lineRule="exact"/>
        <w:ind w:right="33"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 w:eastAsia="仿宋" w:hAnsi="仿宋" w:cs="仿宋" w:hint="eastAsia"/>
          <w:sz w:val="32"/>
          <w:szCs w:val="32"/>
        </w:rPr>
        <w:t>.</w:t>
      </w:r>
      <w:r>
        <w:rPr>
          <w:rFonts w:ascii="仿宋_GB2312" w:eastAsia="仿宋_GB2312" w:hAnsi="宋体" w:hint="eastAsia"/>
          <w:color w:val="000000"/>
          <w:sz w:val="32"/>
          <w:szCs w:val="32"/>
        </w:rPr>
        <w:t>加强新建建筑节能闭合监管，全面执行居住建筑节能75%，公共建筑节能65%设计标准，设计阶段标准执行率达到100%，施工阶段不低于99%。</w:t>
      </w:r>
    </w:p>
    <w:p w:rsidR="005B7FF6" w:rsidRDefault="005B7FF6" w:rsidP="005B7FF6">
      <w:pPr>
        <w:spacing w:line="640" w:lineRule="exact"/>
        <w:ind w:right="33"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 w:eastAsia="仿宋" w:hAnsi="仿宋" w:cs="仿宋" w:hint="eastAsia"/>
          <w:sz w:val="32"/>
          <w:szCs w:val="32"/>
        </w:rPr>
        <w:t>.</w:t>
      </w:r>
      <w:r>
        <w:rPr>
          <w:rFonts w:ascii="仿宋_GB2312" w:eastAsia="仿宋_GB2312" w:hAnsi="宋体" w:hint="eastAsia"/>
          <w:color w:val="000000"/>
          <w:sz w:val="32"/>
          <w:szCs w:val="32"/>
        </w:rPr>
        <w:t>完成公共建筑节能改造任务，新建及改造机关办公建筑和大型公共建筑严格按照规定建立节能监测系统，节能监管平台运行稳定，数据传输连续、及时、准确，稳定传输率达到80%以上。</w:t>
      </w:r>
    </w:p>
    <w:p w:rsidR="005B7FF6" w:rsidRDefault="005B7FF6" w:rsidP="005B7FF6">
      <w:pPr>
        <w:spacing w:line="640" w:lineRule="exact"/>
        <w:ind w:right="33"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 w:eastAsia="仿宋" w:hAnsi="仿宋" w:cs="仿宋" w:hint="eastAsia"/>
          <w:sz w:val="32"/>
          <w:szCs w:val="32"/>
        </w:rPr>
        <w:t>.</w:t>
      </w:r>
      <w:r>
        <w:rPr>
          <w:rFonts w:ascii="仿宋_GB2312" w:eastAsia="仿宋_GB2312" w:hAnsi="宋体" w:hint="eastAsia"/>
          <w:color w:val="000000"/>
          <w:sz w:val="32"/>
          <w:szCs w:val="32"/>
        </w:rPr>
        <w:t>对100米及以下具备太阳能光热利用条件的新建居住建筑和集中供应热水的公共建筑，全面推进太阳能光热与建筑一体化设计、施工和验收，完成省下达的太阳能光热一体化应用任务。</w:t>
      </w:r>
    </w:p>
    <w:p w:rsidR="005B7FF6" w:rsidRDefault="005B7FF6" w:rsidP="005B7FF6">
      <w:pPr>
        <w:spacing w:line="640" w:lineRule="exact"/>
        <w:ind w:right="33"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4</w:t>
      </w:r>
      <w:r>
        <w:rPr>
          <w:rFonts w:ascii="仿宋" w:eastAsia="仿宋" w:hAnsi="仿宋" w:cs="仿宋" w:hint="eastAsia"/>
          <w:sz w:val="32"/>
          <w:szCs w:val="32"/>
        </w:rPr>
        <w:t>.</w:t>
      </w:r>
      <w:r>
        <w:rPr>
          <w:rFonts w:ascii="仿宋_GB2312" w:eastAsia="仿宋_GB2312" w:hAnsi="宋体" w:hint="eastAsia"/>
          <w:color w:val="000000"/>
          <w:sz w:val="32"/>
          <w:szCs w:val="32"/>
        </w:rPr>
        <w:t>全面完成辖区内可再生能源建筑应用国家重点推广区、示范市（县）、科技及产业化项目和省级推广应用项目的验收。组织好辖区内省级超低能耗建筑、公共建筑节能等示范创建；济南、青岛两市要积极推进国家公共建筑节能改造重点市创建，实施进度和质量达到示范建设要求。</w:t>
      </w:r>
    </w:p>
    <w:p w:rsidR="005B7FF6" w:rsidRDefault="005B7FF6" w:rsidP="005B7FF6">
      <w:pPr>
        <w:spacing w:line="640" w:lineRule="exact"/>
        <w:ind w:right="33"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w:t>
      </w:r>
      <w:r>
        <w:rPr>
          <w:rFonts w:ascii="仿宋" w:eastAsia="仿宋" w:hAnsi="仿宋" w:cs="仿宋" w:hint="eastAsia"/>
          <w:sz w:val="32"/>
          <w:szCs w:val="32"/>
        </w:rPr>
        <w:t>.</w:t>
      </w:r>
      <w:r>
        <w:rPr>
          <w:rFonts w:ascii="仿宋_GB2312" w:eastAsia="仿宋_GB2312" w:hAnsi="宋体" w:hint="eastAsia"/>
          <w:color w:val="000000"/>
          <w:sz w:val="32"/>
          <w:szCs w:val="32"/>
        </w:rPr>
        <w:t>加强创新能力提升短板工作，组建关键技术研发中心，增强技术集成和产品研发能力，深入推进产学研用结合，认真执行建筑节能技术与产品认定、技术目录推广等制度，加快科技成果转化应用，加速产业技术升级。</w:t>
      </w:r>
    </w:p>
    <w:p w:rsidR="005B7FF6" w:rsidRDefault="005B7FF6" w:rsidP="005B7FF6">
      <w:pPr>
        <w:spacing w:line="640" w:lineRule="exact"/>
        <w:ind w:right="33" w:firstLineChars="200" w:firstLine="640"/>
        <w:rPr>
          <w:rFonts w:ascii="黑体" w:eastAsia="黑体" w:hAnsi="黑体"/>
          <w:color w:val="000000"/>
          <w:sz w:val="32"/>
          <w:szCs w:val="32"/>
        </w:rPr>
      </w:pPr>
      <w:r>
        <w:rPr>
          <w:rFonts w:ascii="黑体" w:eastAsia="黑体" w:hAnsi="黑体" w:hint="eastAsia"/>
          <w:color w:val="000000"/>
          <w:sz w:val="32"/>
          <w:szCs w:val="32"/>
        </w:rPr>
        <w:t>四、统计宣传</w:t>
      </w:r>
    </w:p>
    <w:p w:rsidR="005B7FF6" w:rsidRDefault="005B7FF6" w:rsidP="005B7FF6">
      <w:pPr>
        <w:spacing w:line="640" w:lineRule="exact"/>
        <w:ind w:right="33" w:firstLineChars="200" w:firstLine="640"/>
        <w:rPr>
          <w:rFonts w:ascii="仿宋_GB2312" w:eastAsia="仿宋_GB2312" w:hAnsi="仿宋" w:cs="仿宋"/>
          <w:color w:val="000000"/>
          <w:sz w:val="32"/>
          <w:szCs w:val="32"/>
        </w:rPr>
      </w:pPr>
      <w:r>
        <w:rPr>
          <w:rFonts w:ascii="仿宋_GB2312" w:eastAsia="仿宋_GB2312" w:hAnsi="宋体" w:hint="eastAsia"/>
          <w:color w:val="000000"/>
          <w:sz w:val="32"/>
          <w:szCs w:val="32"/>
        </w:rPr>
        <w:t>1</w:t>
      </w:r>
      <w:r>
        <w:rPr>
          <w:rFonts w:ascii="仿宋" w:eastAsia="仿宋" w:hAnsi="仿宋" w:cs="仿宋" w:hint="eastAsia"/>
          <w:sz w:val="32"/>
          <w:szCs w:val="32"/>
        </w:rPr>
        <w:t>.</w:t>
      </w:r>
      <w:r>
        <w:rPr>
          <w:rFonts w:ascii="仿宋_GB2312" w:eastAsia="仿宋_GB2312" w:hAnsi="宋体" w:hint="eastAsia"/>
          <w:color w:val="000000"/>
          <w:sz w:val="32"/>
          <w:szCs w:val="32"/>
        </w:rPr>
        <w:t>按照国家、省相关统计报表制度要求，明确专门</w:t>
      </w:r>
      <w:r>
        <w:rPr>
          <w:rFonts w:ascii="仿宋" w:eastAsia="仿宋" w:hAnsi="仿宋" w:cs="仿宋" w:hint="eastAsia"/>
          <w:sz w:val="32"/>
          <w:szCs w:val="32"/>
        </w:rPr>
        <w:t>人员负责调度统计工作，</w:t>
      </w:r>
      <w:r>
        <w:rPr>
          <w:rFonts w:ascii="仿宋_GB2312" w:eastAsia="仿宋_GB2312" w:hAnsi="宋体" w:hint="eastAsia"/>
          <w:color w:val="000000"/>
          <w:sz w:val="32"/>
          <w:szCs w:val="32"/>
        </w:rPr>
        <w:t>及时上报绿色建筑与装配式建筑各类统计报表，并确保数据真实、完整、有效。</w:t>
      </w:r>
    </w:p>
    <w:p w:rsidR="005B7FF6" w:rsidRDefault="005B7FF6" w:rsidP="005B7FF6">
      <w:pPr>
        <w:spacing w:line="640" w:lineRule="exact"/>
        <w:ind w:right="33" w:firstLineChars="200" w:firstLine="640"/>
        <w:rPr>
          <w:rFonts w:ascii="仿宋_GB2312" w:eastAsia="仿宋_GB2312" w:hAnsi="宋体" w:cs="Times New Roman"/>
          <w:color w:val="000000"/>
          <w:sz w:val="32"/>
          <w:szCs w:val="32"/>
        </w:rPr>
      </w:pPr>
      <w:r>
        <w:rPr>
          <w:rFonts w:ascii="仿宋_GB2312" w:eastAsia="仿宋_GB2312" w:hAnsi="仿宋" w:cs="仿宋" w:hint="eastAsia"/>
          <w:color w:val="000000"/>
          <w:sz w:val="32"/>
          <w:szCs w:val="32"/>
        </w:rPr>
        <w:t>2</w:t>
      </w:r>
      <w:r>
        <w:rPr>
          <w:rFonts w:ascii="仿宋" w:eastAsia="仿宋" w:hAnsi="仿宋" w:cs="仿宋" w:hint="eastAsia"/>
          <w:sz w:val="32"/>
          <w:szCs w:val="32"/>
        </w:rPr>
        <w:t>.</w:t>
      </w:r>
      <w:r>
        <w:rPr>
          <w:rFonts w:ascii="仿宋_GB2312" w:eastAsia="仿宋_GB2312" w:hAnsi="仿宋" w:cs="仿宋" w:hint="eastAsia"/>
          <w:color w:val="000000"/>
          <w:sz w:val="32"/>
          <w:szCs w:val="32"/>
        </w:rPr>
        <w:t>积极参加“节能宣传周”、“低碳日”等专题活动，结合当地实际，扎实开展绿色建筑与装配式建筑宣传培训、技术交流等活动，及时报送辖区内绿色建筑与装配式建筑发展动态信息，总结推广典型经验做法。</w:t>
      </w:r>
    </w:p>
    <w:p w:rsidR="00B36D25" w:rsidRDefault="00B36D25"/>
    <w:p w:rsidR="005B7FF6" w:rsidRDefault="005B7FF6"/>
    <w:p w:rsidR="005B7FF6" w:rsidRDefault="005B7FF6"/>
    <w:p w:rsidR="005B7FF6" w:rsidRDefault="005B7FF6"/>
    <w:p w:rsidR="005B7FF6" w:rsidRDefault="005B7FF6"/>
    <w:p w:rsidR="005B7FF6" w:rsidRDefault="005B7FF6"/>
    <w:p w:rsidR="005B7FF6" w:rsidRDefault="005B7FF6"/>
    <w:p w:rsidR="005B7FF6" w:rsidRDefault="005B7FF6"/>
    <w:p w:rsidR="005B7FF6" w:rsidRDefault="005B7FF6"/>
    <w:p w:rsidR="005B7FF6" w:rsidRDefault="005B7FF6"/>
    <w:p w:rsidR="005B7FF6" w:rsidRDefault="005B7FF6"/>
    <w:p w:rsidR="005B7FF6" w:rsidRDefault="005B7FF6"/>
    <w:p w:rsidR="005B7FF6" w:rsidRDefault="005B7FF6"/>
    <w:p w:rsidR="005B7FF6" w:rsidRDefault="005B7FF6"/>
    <w:p w:rsidR="005B7FF6" w:rsidRDefault="005B7FF6"/>
    <w:p w:rsidR="005B7FF6" w:rsidRDefault="005B7FF6" w:rsidP="005B7FF6">
      <w:pPr>
        <w:spacing w:line="640" w:lineRule="exact"/>
        <w:ind w:right="33"/>
        <w:rPr>
          <w:rFonts w:ascii="仿宋_GB2312" w:eastAsia="仿宋_GB2312" w:hAnsi="宋体"/>
          <w:color w:val="000000"/>
          <w:sz w:val="32"/>
          <w:szCs w:val="32"/>
        </w:rPr>
      </w:pPr>
      <w:bookmarkStart w:id="0" w:name="_GoBack"/>
      <w:bookmarkEnd w:id="0"/>
      <w:r>
        <w:rPr>
          <w:rFonts w:ascii="仿宋_GB2312" w:eastAsia="仿宋_GB2312" w:hAnsi="宋体" w:hint="eastAsia"/>
          <w:color w:val="000000"/>
          <w:sz w:val="32"/>
          <w:szCs w:val="32"/>
        </w:rPr>
        <w:lastRenderedPageBreak/>
        <w:t>附件2：</w:t>
      </w:r>
    </w:p>
    <w:p w:rsidR="005B7FF6" w:rsidRDefault="005B7FF6" w:rsidP="005B7FF6">
      <w:pPr>
        <w:spacing w:line="540" w:lineRule="exact"/>
        <w:jc w:val="center"/>
        <w:rPr>
          <w:rFonts w:ascii="宋体" w:eastAsia="宋体" w:hAnsi="宋体"/>
          <w:b/>
          <w:color w:val="000000"/>
          <w:sz w:val="44"/>
          <w:szCs w:val="44"/>
        </w:rPr>
      </w:pPr>
      <w:r>
        <w:rPr>
          <w:rFonts w:ascii="宋体" w:hAnsi="宋体" w:hint="eastAsia"/>
          <w:b/>
          <w:color w:val="000000"/>
          <w:sz w:val="44"/>
          <w:szCs w:val="44"/>
        </w:rPr>
        <w:t>2017年山东省绿色建筑与装配式建筑</w:t>
      </w:r>
    </w:p>
    <w:p w:rsidR="005B7FF6" w:rsidRDefault="005B7FF6" w:rsidP="005B7FF6">
      <w:pPr>
        <w:spacing w:line="540" w:lineRule="exact"/>
        <w:jc w:val="center"/>
        <w:rPr>
          <w:rFonts w:ascii="宋体" w:hAnsi="宋体"/>
          <w:b/>
          <w:color w:val="000000"/>
          <w:sz w:val="44"/>
          <w:szCs w:val="44"/>
        </w:rPr>
      </w:pPr>
      <w:r>
        <w:rPr>
          <w:rFonts w:ascii="宋体" w:hAnsi="宋体" w:hint="eastAsia"/>
          <w:b/>
          <w:color w:val="000000"/>
          <w:sz w:val="44"/>
          <w:szCs w:val="44"/>
        </w:rPr>
        <w:t>目标任务分解表</w:t>
      </w:r>
    </w:p>
    <w:p w:rsidR="005B7FF6" w:rsidRDefault="005B7FF6" w:rsidP="005B7FF6">
      <w:pPr>
        <w:jc w:val="center"/>
        <w:rPr>
          <w:rFonts w:ascii="宋体" w:hAnsi="宋体"/>
          <w:b/>
          <w:color w:val="000000"/>
          <w:sz w:val="15"/>
          <w:szCs w:val="15"/>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5"/>
        <w:gridCol w:w="2174"/>
        <w:gridCol w:w="2176"/>
        <w:gridCol w:w="1842"/>
        <w:gridCol w:w="1983"/>
      </w:tblGrid>
      <w:tr w:rsidR="005B7FF6" w:rsidTr="005B7FF6">
        <w:trPr>
          <w:trHeight w:val="940"/>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设区市</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新开工民用装配式</w:t>
            </w:r>
          </w:p>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建筑面积（万㎡）</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二星级及以上</w:t>
            </w:r>
            <w:proofErr w:type="gramStart"/>
            <w:r>
              <w:rPr>
                <w:rFonts w:asciiTheme="minorEastAsia" w:hAnsiTheme="minorEastAsia" w:hint="eastAsia"/>
                <w:sz w:val="24"/>
                <w:szCs w:val="24"/>
              </w:rPr>
              <w:t>绿建标识</w:t>
            </w:r>
            <w:proofErr w:type="gramEnd"/>
            <w:r>
              <w:rPr>
                <w:rFonts w:asciiTheme="minorEastAsia" w:hAnsiTheme="minorEastAsia" w:hint="eastAsia"/>
                <w:sz w:val="24"/>
                <w:szCs w:val="24"/>
              </w:rPr>
              <w:t>面积（万㎡）</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太阳能光热</w:t>
            </w:r>
          </w:p>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一体化（万㎡）</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公共建筑</w:t>
            </w:r>
          </w:p>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节能改造（万㎡）</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济南</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620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120</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青岛</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310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120</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淄博</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80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10</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枣庄</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60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90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东营</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45</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烟台</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110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160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12</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潍坊</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80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160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250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12</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济宁</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150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2</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泰安</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100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120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6</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威海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70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6</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日照</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50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60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6</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莱芜</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25</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20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临沂</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120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10</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德州</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40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4</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聊城</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40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滨州</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40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5</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菏泽</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60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20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2</w:t>
            </w:r>
          </w:p>
        </w:tc>
      </w:tr>
      <w:tr w:rsidR="005B7FF6" w:rsidTr="005B7FF6">
        <w:trPr>
          <w:trHeight w:val="567"/>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合计</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2000</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1200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2400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7FF6" w:rsidRDefault="005B7FF6">
            <w:pPr>
              <w:jc w:val="center"/>
              <w:rPr>
                <w:rFonts w:asciiTheme="minorEastAsia" w:hAnsiTheme="minorEastAsia" w:cs="Times New Roman"/>
                <w:sz w:val="24"/>
                <w:szCs w:val="24"/>
              </w:rPr>
            </w:pPr>
            <w:r>
              <w:rPr>
                <w:rFonts w:asciiTheme="minorEastAsia" w:hAnsiTheme="minorEastAsia" w:hint="eastAsia"/>
                <w:sz w:val="24"/>
                <w:szCs w:val="24"/>
              </w:rPr>
              <w:t>325</w:t>
            </w:r>
          </w:p>
        </w:tc>
      </w:tr>
    </w:tbl>
    <w:p w:rsidR="00B36D25" w:rsidRDefault="00B36D25"/>
    <w:sectPr w:rsidR="00B36D25" w:rsidSect="00116FF9">
      <w:pgSz w:w="11906" w:h="16838"/>
      <w:pgMar w:top="567"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EF"/>
    <w:rsid w:val="00116FF9"/>
    <w:rsid w:val="00143CEF"/>
    <w:rsid w:val="00356816"/>
    <w:rsid w:val="005B7FF6"/>
    <w:rsid w:val="006C0B3E"/>
    <w:rsid w:val="007E4264"/>
    <w:rsid w:val="00B36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5929">
      <w:bodyDiv w:val="1"/>
      <w:marLeft w:val="0"/>
      <w:marRight w:val="0"/>
      <w:marTop w:val="0"/>
      <w:marBottom w:val="0"/>
      <w:divBdr>
        <w:top w:val="none" w:sz="0" w:space="0" w:color="auto"/>
        <w:left w:val="none" w:sz="0" w:space="0" w:color="auto"/>
        <w:bottom w:val="none" w:sz="0" w:space="0" w:color="auto"/>
        <w:right w:val="none" w:sz="0" w:space="0" w:color="auto"/>
      </w:divBdr>
    </w:div>
    <w:div w:id="1443302291">
      <w:bodyDiv w:val="1"/>
      <w:marLeft w:val="0"/>
      <w:marRight w:val="0"/>
      <w:marTop w:val="0"/>
      <w:marBottom w:val="0"/>
      <w:divBdr>
        <w:top w:val="none" w:sz="0" w:space="0" w:color="auto"/>
        <w:left w:val="none" w:sz="0" w:space="0" w:color="auto"/>
        <w:bottom w:val="none" w:sz="0" w:space="0" w:color="auto"/>
        <w:right w:val="none" w:sz="0" w:space="0" w:color="auto"/>
      </w:divBdr>
      <w:divsChild>
        <w:div w:id="1793356873">
          <w:marLeft w:val="0"/>
          <w:marRight w:val="0"/>
          <w:marTop w:val="0"/>
          <w:marBottom w:val="0"/>
          <w:divBdr>
            <w:top w:val="none" w:sz="0" w:space="0" w:color="auto"/>
            <w:left w:val="none" w:sz="0" w:space="0" w:color="auto"/>
            <w:bottom w:val="none" w:sz="0" w:space="0" w:color="auto"/>
            <w:right w:val="none" w:sz="0" w:space="0" w:color="auto"/>
          </w:divBdr>
        </w:div>
      </w:divsChild>
    </w:div>
    <w:div w:id="16982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djs.gov.cn/module/download/downfile.jsp?classid=0&amp;filename=1704271149099935089.docx" TargetMode="External"/><Relationship Id="rId5" Type="http://schemas.openxmlformats.org/officeDocument/2006/relationships/hyperlink" Target="http://www.sdjs.gov.cn/module/download/downfile.jsp?classid=0&amp;filename=170427114852510891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377</Words>
  <Characters>2151</Characters>
  <Application>Microsoft Office Word</Application>
  <DocSecurity>0</DocSecurity>
  <Lines>17</Lines>
  <Paragraphs>5</Paragraphs>
  <ScaleCrop>false</ScaleCrop>
  <Company>sdm</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tshifeng</dc:creator>
  <cp:keywords/>
  <dc:description/>
  <cp:lastModifiedBy>tshifeng</cp:lastModifiedBy>
  <cp:revision>6</cp:revision>
  <dcterms:created xsi:type="dcterms:W3CDTF">2017-07-09T17:30:00Z</dcterms:created>
  <dcterms:modified xsi:type="dcterms:W3CDTF">2017-08-03T10:46:00Z</dcterms:modified>
</cp:coreProperties>
</file>