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E" w:rsidRDefault="00D575CE">
      <w:pPr>
        <w:rPr>
          <w:rFonts w:hint="eastAsia"/>
          <w:noProof/>
          <w:color w:val="3D3D3D"/>
          <w:szCs w:val="21"/>
        </w:rPr>
      </w:pPr>
      <w:r>
        <w:rPr>
          <w:noProof/>
          <w:color w:val="3D3D3D"/>
          <w:szCs w:val="21"/>
        </w:rPr>
        <w:drawing>
          <wp:inline distT="0" distB="0" distL="0" distR="0" wp14:anchorId="1AE20BE1" wp14:editId="7981244A">
            <wp:extent cx="5799745" cy="8343900"/>
            <wp:effectExtent l="0" t="0" r="0" b="0"/>
            <wp:docPr id="1" name="图片 1" descr="http://www.sdjs.gov.cn/picture/0/s_2b74a60e1b744c789e386fb46ec87e17.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js.gov.cn/picture/0/s_2b74a60e1b744c789e386fb46ec87e17.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9745" cy="8343900"/>
                    </a:xfrm>
                    <a:prstGeom prst="rect">
                      <a:avLst/>
                    </a:prstGeom>
                    <a:noFill/>
                    <a:ln>
                      <a:noFill/>
                    </a:ln>
                  </pic:spPr>
                </pic:pic>
              </a:graphicData>
            </a:graphic>
          </wp:inline>
        </w:drawing>
      </w:r>
      <w:r w:rsidRPr="00D575CE">
        <w:rPr>
          <w:noProof/>
          <w:color w:val="3D3D3D"/>
          <w:szCs w:val="21"/>
        </w:rPr>
        <w:t xml:space="preserve"> </w:t>
      </w:r>
      <w:r>
        <w:rPr>
          <w:noProof/>
          <w:color w:val="3D3D3D"/>
          <w:szCs w:val="21"/>
        </w:rPr>
        <w:lastRenderedPageBreak/>
        <w:drawing>
          <wp:inline distT="0" distB="0" distL="0" distR="0" wp14:anchorId="1C03F677" wp14:editId="36FE94A3">
            <wp:extent cx="5594952" cy="8108950"/>
            <wp:effectExtent l="0" t="0" r="6350" b="6350"/>
            <wp:docPr id="2" name="图片 2" descr="http://www.sdjs.gov.cn/picture/0/s_b7bd4c0863e54fd6936a4b469b566d6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djs.gov.cn/picture/0/s_b7bd4c0863e54fd6936a4b469b566d6e.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952" cy="8108950"/>
                    </a:xfrm>
                    <a:prstGeom prst="rect">
                      <a:avLst/>
                    </a:prstGeom>
                    <a:noFill/>
                    <a:ln>
                      <a:noFill/>
                    </a:ln>
                  </pic:spPr>
                </pic:pic>
              </a:graphicData>
            </a:graphic>
          </wp:inline>
        </w:drawing>
      </w:r>
    </w:p>
    <w:p w:rsidR="00D575CE" w:rsidRDefault="00D575CE">
      <w:pPr>
        <w:rPr>
          <w:rFonts w:hint="eastAsia"/>
          <w:noProof/>
          <w:color w:val="3D3D3D"/>
          <w:szCs w:val="21"/>
        </w:rPr>
      </w:pPr>
    </w:p>
    <w:p w:rsidR="00D575CE" w:rsidRDefault="00D575CE">
      <w:pPr>
        <w:rPr>
          <w:rFonts w:hint="eastAsia"/>
          <w:noProof/>
          <w:color w:val="3D3D3D"/>
          <w:szCs w:val="21"/>
        </w:rPr>
      </w:pPr>
    </w:p>
    <w:p w:rsidR="00D575CE" w:rsidRDefault="00D575CE">
      <w:pPr>
        <w:rPr>
          <w:rFonts w:hint="eastAsia"/>
          <w:noProof/>
          <w:color w:val="3D3D3D"/>
          <w:szCs w:val="21"/>
        </w:rPr>
      </w:pPr>
    </w:p>
    <w:p w:rsidR="00D575CE" w:rsidRDefault="00D575CE" w:rsidP="00D575CE">
      <w:pPr>
        <w:widowControl/>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附件1：</w:t>
      </w:r>
    </w:p>
    <w:p w:rsidR="00D575CE" w:rsidRDefault="00D575CE" w:rsidP="00D575CE">
      <w:pPr>
        <w:spacing w:line="640" w:lineRule="exact"/>
        <w:ind w:right="33"/>
        <w:jc w:val="center"/>
        <w:rPr>
          <w:rFonts w:ascii="宋体" w:eastAsia="宋体" w:hAnsi="宋体" w:cs="Times New Roman" w:hint="eastAsia"/>
          <w:b/>
          <w:color w:val="000000"/>
          <w:sz w:val="44"/>
          <w:szCs w:val="44"/>
        </w:rPr>
      </w:pPr>
    </w:p>
    <w:p w:rsidR="00D575CE" w:rsidRDefault="00D575CE" w:rsidP="00D575CE">
      <w:pPr>
        <w:spacing w:line="640" w:lineRule="exact"/>
        <w:ind w:right="33"/>
        <w:jc w:val="center"/>
        <w:rPr>
          <w:rFonts w:ascii="宋体" w:hAnsi="宋体" w:hint="eastAsia"/>
          <w:b/>
          <w:color w:val="000000"/>
          <w:sz w:val="44"/>
          <w:szCs w:val="44"/>
        </w:rPr>
      </w:pPr>
      <w:r>
        <w:rPr>
          <w:rFonts w:ascii="宋体" w:hAnsi="宋体" w:hint="eastAsia"/>
          <w:b/>
          <w:color w:val="000000"/>
          <w:sz w:val="44"/>
          <w:szCs w:val="44"/>
        </w:rPr>
        <w:t>2018年山东省绿色建筑与装配式建筑</w:t>
      </w:r>
    </w:p>
    <w:p w:rsidR="00D575CE" w:rsidRDefault="00D575CE" w:rsidP="00D575CE">
      <w:pPr>
        <w:spacing w:line="640" w:lineRule="exact"/>
        <w:ind w:right="33"/>
        <w:jc w:val="center"/>
        <w:rPr>
          <w:rFonts w:ascii="宋体" w:hAnsi="宋体" w:hint="eastAsia"/>
          <w:b/>
          <w:color w:val="000000"/>
          <w:sz w:val="44"/>
          <w:szCs w:val="44"/>
        </w:rPr>
      </w:pPr>
      <w:r>
        <w:rPr>
          <w:rFonts w:ascii="宋体" w:hAnsi="宋体" w:hint="eastAsia"/>
          <w:b/>
          <w:color w:val="000000"/>
          <w:sz w:val="44"/>
          <w:szCs w:val="44"/>
        </w:rPr>
        <w:t>工作考核要点</w:t>
      </w:r>
    </w:p>
    <w:p w:rsidR="00D575CE" w:rsidRDefault="00D575CE" w:rsidP="00D575CE">
      <w:pPr>
        <w:spacing w:line="640" w:lineRule="exact"/>
        <w:ind w:right="33" w:firstLineChars="200" w:firstLine="640"/>
        <w:rPr>
          <w:rFonts w:ascii="仿宋_GB2312" w:eastAsia="仿宋_GB2312" w:hAnsi="仿宋" w:cs="仿宋" w:hint="eastAsia"/>
          <w:color w:val="000000"/>
          <w:sz w:val="32"/>
          <w:szCs w:val="32"/>
        </w:rPr>
      </w:pPr>
    </w:p>
    <w:p w:rsidR="00D575CE" w:rsidRDefault="00D575CE" w:rsidP="00D575CE">
      <w:pPr>
        <w:spacing w:line="640" w:lineRule="exact"/>
        <w:ind w:right="33"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为贯彻落实国家、省关于绿色建筑与装配式建筑工作的决策部署，推进重点工作全面深入开展，根据国家、省节能目标责任制考核有关要求，提出考核要点如下：</w:t>
      </w:r>
    </w:p>
    <w:p w:rsidR="00D575CE" w:rsidRDefault="00D575CE" w:rsidP="00D575CE">
      <w:pPr>
        <w:numPr>
          <w:ilvl w:val="0"/>
          <w:numId w:val="1"/>
        </w:numPr>
        <w:spacing w:line="640" w:lineRule="exact"/>
        <w:ind w:right="33" w:firstLineChars="200" w:firstLine="640"/>
        <w:rPr>
          <w:rFonts w:ascii="黑体" w:eastAsia="黑体" w:hAnsi="黑体" w:cs="Times New Roman" w:hint="eastAsia"/>
          <w:color w:val="000000"/>
          <w:sz w:val="32"/>
          <w:szCs w:val="32"/>
        </w:rPr>
      </w:pPr>
      <w:r>
        <w:rPr>
          <w:rFonts w:ascii="黑体" w:eastAsia="黑体" w:hAnsi="黑体" w:hint="eastAsia"/>
          <w:color w:val="000000"/>
          <w:sz w:val="32"/>
          <w:szCs w:val="32"/>
        </w:rPr>
        <w:t>装配式建筑</w:t>
      </w:r>
    </w:p>
    <w:p w:rsidR="00D575CE" w:rsidRDefault="00D575CE" w:rsidP="00D575CE">
      <w:pPr>
        <w:spacing w:line="640" w:lineRule="exact"/>
        <w:ind w:right="3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1.制定装配式建筑发展规划、年度计划并组织实施，落实财政、金融、土地等方面的支持政策，新开工民用装配式建筑面积达到省里下达的任务指标。</w:t>
      </w:r>
    </w:p>
    <w:p w:rsidR="00D575CE" w:rsidRDefault="00D575CE" w:rsidP="00D575CE">
      <w:pPr>
        <w:spacing w:line="640" w:lineRule="exact"/>
        <w:ind w:right="33"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土地使用合同、建设用地规划条件、项目建设条件意见书等明确新供应建设用地装配式建筑建设比例要求，项目立项、规划审批等环节落实公共租赁住房、棚改安置住房及政府投资工程装配式技术建设的要求和落实新建高层住宅全面实行全装修的要求。</w:t>
      </w:r>
    </w:p>
    <w:p w:rsidR="00D575CE" w:rsidRDefault="00D575CE" w:rsidP="00D575CE">
      <w:pPr>
        <w:spacing w:line="640" w:lineRule="exact"/>
        <w:ind w:right="33" w:firstLineChars="200" w:firstLine="640"/>
        <w:rPr>
          <w:rFonts w:ascii="仿宋_GB2312" w:eastAsia="仿宋_GB2312" w:hAnsi="Times New Roman" w:cs="Times New Roman" w:hint="eastAsia"/>
          <w:sz w:val="32"/>
          <w:szCs w:val="32"/>
        </w:rPr>
      </w:pPr>
      <w:r>
        <w:rPr>
          <w:rFonts w:ascii="仿宋" w:eastAsia="仿宋" w:hAnsi="仿宋" w:cs="仿宋" w:hint="eastAsia"/>
          <w:sz w:val="32"/>
          <w:szCs w:val="32"/>
        </w:rPr>
        <w:t>3.</w:t>
      </w:r>
      <w:r>
        <w:rPr>
          <w:rFonts w:ascii="仿宋_GB2312" w:eastAsia="仿宋_GB2312" w:hAnsi="Times New Roman" w:hint="eastAsia"/>
          <w:sz w:val="32"/>
          <w:szCs w:val="32"/>
        </w:rPr>
        <w:t>学校、医院等公益性建筑以及单体建筑面积超过2万平方米的大型公共建筑宜采用装配式钢结构，鼓励具备条件的地方应用现代木结构建筑。</w:t>
      </w:r>
    </w:p>
    <w:p w:rsidR="00D575CE" w:rsidRDefault="00D575CE" w:rsidP="00D575CE">
      <w:pPr>
        <w:spacing w:line="640" w:lineRule="exact"/>
        <w:ind w:right="33"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_GB2312" w:eastAsia="仿宋_GB2312" w:hAnsi="仿宋_GB2312" w:cs="仿宋_GB2312" w:hint="eastAsia"/>
          <w:sz w:val="32"/>
          <w:szCs w:val="32"/>
        </w:rPr>
        <w:t>装配式建筑原则上采用工程总承包模式和建筑信息</w:t>
      </w:r>
      <w:r>
        <w:rPr>
          <w:rFonts w:ascii="仿宋_GB2312" w:eastAsia="仿宋_GB2312" w:hAnsi="仿宋_GB2312" w:cs="仿宋_GB2312" w:hint="eastAsia"/>
          <w:sz w:val="32"/>
          <w:szCs w:val="32"/>
        </w:rPr>
        <w:lastRenderedPageBreak/>
        <w:t>模型技术，推行装配式建筑装饰装修与主体结构、机电设备协同施工，积极推广装配化装修。积极推广填充体与支撑体相分离的百年建筑技术体系。</w:t>
      </w:r>
    </w:p>
    <w:p w:rsidR="00D575CE" w:rsidRDefault="00D575CE" w:rsidP="00D575CE">
      <w:pPr>
        <w:spacing w:line="640" w:lineRule="exact"/>
        <w:ind w:right="33"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5.扶持发展装配式建筑产业，对国家、省装配式建筑产业基地和列为</w:t>
      </w:r>
      <w:proofErr w:type="gramStart"/>
      <w:r>
        <w:rPr>
          <w:rFonts w:ascii="仿宋_GB2312" w:eastAsia="仿宋_GB2312" w:hAnsi="仿宋_GB2312" w:cs="仿宋_GB2312" w:hint="eastAsia"/>
          <w:sz w:val="32"/>
          <w:szCs w:val="32"/>
        </w:rPr>
        <w:t>省住建领域</w:t>
      </w:r>
      <w:proofErr w:type="gramEnd"/>
      <w:r>
        <w:rPr>
          <w:rFonts w:ascii="仿宋_GB2312" w:eastAsia="仿宋_GB2312" w:hAnsi="仿宋_GB2312" w:cs="仿宋_GB2312" w:hint="eastAsia"/>
          <w:sz w:val="32"/>
          <w:szCs w:val="32"/>
        </w:rPr>
        <w:t>新旧动能转换重大项目的，按规定给予财政、税费、金融等方面的支持政策。</w:t>
      </w:r>
    </w:p>
    <w:p w:rsidR="00D575CE" w:rsidRDefault="00D575CE" w:rsidP="00D575CE">
      <w:pPr>
        <w:spacing w:line="640" w:lineRule="exact"/>
        <w:ind w:right="33"/>
        <w:rPr>
          <w:rFonts w:ascii="黑体" w:eastAsia="黑体" w:hAnsi="黑体" w:cs="Times New Roman" w:hint="eastAsia"/>
          <w:color w:val="000000"/>
          <w:sz w:val="32"/>
          <w:szCs w:val="32"/>
        </w:rPr>
      </w:pPr>
      <w:r>
        <w:rPr>
          <w:rFonts w:ascii="仿宋" w:eastAsia="仿宋" w:hAnsi="仿宋" w:cs="仿宋" w:hint="eastAsia"/>
          <w:sz w:val="32"/>
          <w:szCs w:val="32"/>
        </w:rPr>
        <w:t xml:space="preserve">    6.抓好国家、省装配式建筑示范城市组织实施，严格省装配式建筑示范工程、产业基地监督管理，确保示范质量和效果。认真做好装配式建筑调度统计工作。</w:t>
      </w:r>
    </w:p>
    <w:p w:rsidR="00D575CE" w:rsidRDefault="00D575CE" w:rsidP="00D575CE">
      <w:pPr>
        <w:spacing w:line="640" w:lineRule="exact"/>
        <w:ind w:right="33" w:firstLineChars="200" w:firstLine="640"/>
        <w:rPr>
          <w:rFonts w:ascii="黑体" w:eastAsia="黑体" w:hAnsi="黑体" w:hint="eastAsia"/>
          <w:color w:val="000000"/>
          <w:sz w:val="32"/>
          <w:szCs w:val="32"/>
        </w:rPr>
      </w:pPr>
      <w:r>
        <w:rPr>
          <w:rFonts w:ascii="黑体" w:eastAsia="黑体" w:hAnsi="黑体" w:hint="eastAsia"/>
          <w:color w:val="000000"/>
          <w:sz w:val="32"/>
          <w:szCs w:val="32"/>
        </w:rPr>
        <w:t>二、绿色建筑</w:t>
      </w:r>
    </w:p>
    <w:p w:rsidR="00D575CE" w:rsidRDefault="00D575CE" w:rsidP="00D575CE">
      <w:pPr>
        <w:spacing w:line="640" w:lineRule="exact"/>
        <w:ind w:right="33" w:firstLineChars="200" w:firstLine="640"/>
        <w:rPr>
          <w:rFonts w:ascii="仿宋_GB2312" w:eastAsia="仿宋_GB2312" w:hAnsi="仿宋" w:cs="仿宋" w:hint="eastAsia"/>
          <w:snapToGrid w:val="0"/>
          <w:color w:val="000000"/>
          <w:sz w:val="32"/>
          <w:szCs w:val="32"/>
        </w:rPr>
      </w:pPr>
      <w:r>
        <w:rPr>
          <w:rFonts w:ascii="仿宋_GB2312" w:eastAsia="仿宋_GB2312" w:hAnsi="仿宋" w:cs="仿宋" w:hint="eastAsia"/>
          <w:sz w:val="32"/>
          <w:szCs w:val="32"/>
        </w:rPr>
        <w:t>1.</w:t>
      </w:r>
      <w:r>
        <w:rPr>
          <w:rFonts w:ascii="仿宋_GB2312" w:eastAsia="仿宋_GB2312" w:hAnsi="仿宋" w:cs="仿宋" w:hint="eastAsia"/>
          <w:snapToGrid w:val="0"/>
          <w:color w:val="000000"/>
          <w:sz w:val="32"/>
          <w:szCs w:val="32"/>
        </w:rPr>
        <w:t>建立完善绿色建筑全过程监管机制，认真执行绿色建筑规划、设计、施工等标准规范，</w:t>
      </w:r>
      <w:r>
        <w:rPr>
          <w:rFonts w:ascii="仿宋_GB2312" w:eastAsia="仿宋_GB2312" w:hAnsi="仿宋" w:cs="仿宋" w:hint="eastAsia"/>
          <w:sz w:val="32"/>
          <w:szCs w:val="32"/>
        </w:rPr>
        <w:t>县城及以上城市的城区规划建设用地范围内的规划区新</w:t>
      </w:r>
      <w:r>
        <w:rPr>
          <w:rFonts w:ascii="仿宋_GB2312" w:eastAsia="仿宋_GB2312" w:hAnsi="仿宋" w:cs="仿宋" w:hint="eastAsia"/>
          <w:color w:val="000000"/>
          <w:sz w:val="32"/>
          <w:szCs w:val="32"/>
        </w:rPr>
        <w:t>建建筑</w:t>
      </w:r>
      <w:r>
        <w:rPr>
          <w:rFonts w:ascii="仿宋_GB2312" w:eastAsia="仿宋_GB2312" w:hAnsi="仿宋" w:cs="仿宋" w:hint="eastAsia"/>
          <w:snapToGrid w:val="0"/>
          <w:sz w:val="32"/>
          <w:szCs w:val="32"/>
        </w:rPr>
        <w:t>全面执行</w:t>
      </w:r>
      <w:r>
        <w:rPr>
          <w:rFonts w:ascii="仿宋_GB2312" w:eastAsia="仿宋_GB2312" w:hAnsi="仿宋" w:cs="仿宋" w:hint="eastAsia"/>
          <w:snapToGrid w:val="0"/>
          <w:color w:val="000000"/>
          <w:sz w:val="32"/>
          <w:szCs w:val="32"/>
        </w:rPr>
        <w:t>绿色建筑设计标准，设计阶段标准执行率不低于96%。</w:t>
      </w:r>
    </w:p>
    <w:p w:rsidR="00D575CE" w:rsidRDefault="00D575CE" w:rsidP="00D575CE">
      <w:pPr>
        <w:spacing w:line="640" w:lineRule="exact"/>
        <w:ind w:right="33" w:firstLineChars="200" w:firstLine="640"/>
        <w:rPr>
          <w:rFonts w:ascii="仿宋_GB2312" w:eastAsia="仿宋_GB2312" w:hAnsi="仿宋" w:cs="仿宋" w:hint="eastAsia"/>
          <w:snapToGrid w:val="0"/>
          <w:color w:val="000000"/>
          <w:sz w:val="32"/>
          <w:szCs w:val="32"/>
        </w:rPr>
      </w:pPr>
      <w:r>
        <w:rPr>
          <w:rFonts w:ascii="仿宋_GB2312" w:eastAsia="仿宋_GB2312" w:hAnsi="仿宋" w:cs="仿宋" w:hint="eastAsia"/>
          <w:snapToGrid w:val="0"/>
          <w:color w:val="000000"/>
          <w:sz w:val="32"/>
          <w:szCs w:val="32"/>
        </w:rPr>
        <w:t>2.规范开展绿色建筑评价标识，大力发展高星级绿色建筑，二星级及以上绿色建筑评价标识面积达到省下达的推广任务。</w:t>
      </w:r>
    </w:p>
    <w:p w:rsidR="00D575CE" w:rsidRDefault="00D575CE" w:rsidP="00D575CE">
      <w:pPr>
        <w:spacing w:line="640" w:lineRule="exact"/>
        <w:ind w:right="33" w:firstLineChars="200" w:firstLine="640"/>
        <w:rPr>
          <w:rFonts w:ascii="仿宋_GB2312" w:eastAsia="仿宋_GB2312" w:hAnsi="仿宋" w:cs="仿宋" w:hint="eastAsia"/>
          <w:snapToGrid w:val="0"/>
          <w:color w:val="000000"/>
          <w:sz w:val="32"/>
          <w:szCs w:val="32"/>
        </w:rPr>
      </w:pPr>
      <w:r>
        <w:rPr>
          <w:rFonts w:ascii="仿宋_GB2312" w:eastAsia="仿宋_GB2312" w:hAnsi="仿宋" w:cs="仿宋" w:hint="eastAsia"/>
          <w:snapToGrid w:val="0"/>
          <w:color w:val="000000"/>
          <w:sz w:val="32"/>
          <w:szCs w:val="32"/>
        </w:rPr>
        <w:t>3.组织实施好辖区内省级绿色生态示范城区（城镇）及绿色建筑、绿色</w:t>
      </w:r>
      <w:proofErr w:type="gramStart"/>
      <w:r>
        <w:rPr>
          <w:rFonts w:ascii="仿宋_GB2312" w:eastAsia="仿宋_GB2312" w:hAnsi="仿宋" w:cs="仿宋" w:hint="eastAsia"/>
          <w:snapToGrid w:val="0"/>
          <w:color w:val="000000"/>
          <w:sz w:val="32"/>
          <w:szCs w:val="32"/>
        </w:rPr>
        <w:t>智慧住</w:t>
      </w:r>
      <w:proofErr w:type="gramEnd"/>
      <w:r>
        <w:rPr>
          <w:rFonts w:ascii="仿宋_GB2312" w:eastAsia="仿宋_GB2312" w:hAnsi="仿宋" w:cs="仿宋" w:hint="eastAsia"/>
          <w:snapToGrid w:val="0"/>
          <w:color w:val="000000"/>
          <w:sz w:val="32"/>
          <w:szCs w:val="32"/>
        </w:rPr>
        <w:t>区等示范创建，实施进度和质量符合示范建设要求。</w:t>
      </w:r>
    </w:p>
    <w:p w:rsidR="00D575CE" w:rsidRDefault="00D575CE" w:rsidP="00D575CE">
      <w:pPr>
        <w:spacing w:line="640" w:lineRule="exact"/>
        <w:ind w:right="33" w:firstLineChars="200" w:firstLine="640"/>
        <w:rPr>
          <w:rFonts w:ascii="仿宋" w:eastAsia="仿宋" w:hAnsi="仿宋" w:cs="仿宋" w:hint="eastAsia"/>
          <w:sz w:val="32"/>
          <w:szCs w:val="32"/>
        </w:rPr>
      </w:pPr>
      <w:r>
        <w:rPr>
          <w:rFonts w:ascii="仿宋_GB2312" w:eastAsia="仿宋_GB2312" w:hAnsi="仿宋" w:cs="仿宋" w:hint="eastAsia"/>
          <w:snapToGrid w:val="0"/>
          <w:color w:val="000000"/>
          <w:sz w:val="32"/>
          <w:szCs w:val="32"/>
        </w:rPr>
        <w:t>4.认真做好建筑节能技术产品应用认定工作，积极开展</w:t>
      </w:r>
      <w:r>
        <w:rPr>
          <w:rFonts w:ascii="仿宋_GB2312" w:eastAsia="仿宋_GB2312" w:hAnsi="仿宋" w:cs="仿宋" w:hint="eastAsia"/>
          <w:snapToGrid w:val="0"/>
          <w:color w:val="000000"/>
          <w:sz w:val="32"/>
          <w:szCs w:val="32"/>
        </w:rPr>
        <w:lastRenderedPageBreak/>
        <w:t>绿色建材评价标识，加快发展绿色建材产业。</w:t>
      </w:r>
    </w:p>
    <w:p w:rsidR="00D575CE" w:rsidRDefault="00D575CE" w:rsidP="00D575CE">
      <w:pPr>
        <w:spacing w:line="640" w:lineRule="exact"/>
        <w:ind w:right="33"/>
        <w:rPr>
          <w:rFonts w:ascii="黑体" w:eastAsia="黑体" w:hAnsi="黑体" w:cs="Times New Roman" w:hint="eastAsia"/>
          <w:color w:val="000000"/>
          <w:sz w:val="32"/>
          <w:szCs w:val="32"/>
        </w:rPr>
      </w:pPr>
      <w:r>
        <w:rPr>
          <w:rFonts w:ascii="黑体" w:eastAsia="黑体" w:hAnsi="黑体" w:hint="eastAsia"/>
          <w:color w:val="000000"/>
          <w:sz w:val="32"/>
          <w:szCs w:val="32"/>
        </w:rPr>
        <w:t xml:space="preserve">    三、建筑节能</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1.加强新建建筑节能闭合监管，全面执行居住建筑节能75%，公共建筑节能65%设计标准，设计阶段标准执行率达到100%，施工阶段不低于99%。</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2.完成公共建筑节能改造任务，新建及改造机关办公建筑和大型公共建筑严格按照规定建立节能监测系统，节能监管平台运行稳定，数据传输连续、及时、准确，稳定传输率达到80%以上。</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3.对100米及以下具备太阳能光热利用条件的新建居住建筑和集中供应热水的公共建筑，全面推进太阳能光热与建筑一体化设计、施工和验收，完成省下达的太阳能光热一体化应用任务。</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组织好辖区内省级超低能耗建筑、公共建筑节能等示范创建。济南市要做好国家冬季清洁取暖试点城市建设工作，完成国家公共建筑节能重点城市建设任务并通过验收。济南、青岛、济宁、聊城四市要积极推进国家公共建筑能效提升重点市创建，实施进度和质量达到示范建设要求。</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5.加强创新能力提升短板工作，组建关键技术研发中心，增强技术集成和产品研发能力，深入推进产学研用结合，认真执行建筑节能技术与产品认定、技术目录推广等制度，加</w:t>
      </w:r>
      <w:r>
        <w:rPr>
          <w:rFonts w:ascii="仿宋_GB2312" w:eastAsia="仿宋_GB2312" w:hAnsi="宋体" w:hint="eastAsia"/>
          <w:color w:val="000000"/>
          <w:sz w:val="32"/>
          <w:szCs w:val="32"/>
        </w:rPr>
        <w:lastRenderedPageBreak/>
        <w:t>快科技成果转化应用，加速产业技术升级。</w:t>
      </w:r>
    </w:p>
    <w:p w:rsidR="00D575CE" w:rsidRDefault="00D575CE" w:rsidP="00D575CE">
      <w:pPr>
        <w:spacing w:line="640" w:lineRule="exact"/>
        <w:ind w:right="33" w:firstLineChars="200" w:firstLine="640"/>
        <w:rPr>
          <w:rFonts w:ascii="黑体" w:eastAsia="黑体" w:hAnsi="黑体" w:hint="eastAsia"/>
          <w:color w:val="000000"/>
          <w:sz w:val="32"/>
          <w:szCs w:val="32"/>
        </w:rPr>
      </w:pPr>
      <w:r>
        <w:rPr>
          <w:rFonts w:ascii="黑体" w:eastAsia="黑体" w:hAnsi="黑体" w:hint="eastAsia"/>
          <w:color w:val="000000"/>
          <w:sz w:val="32"/>
          <w:szCs w:val="32"/>
        </w:rPr>
        <w:t>四、宣传统计</w:t>
      </w:r>
    </w:p>
    <w:p w:rsidR="00D575CE" w:rsidRDefault="00D575CE" w:rsidP="00D575CE">
      <w:pPr>
        <w:spacing w:line="640" w:lineRule="exact"/>
        <w:ind w:right="33"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1.按照省住房城乡建设厅的统一部署，参与组织第四届山东省绿色建筑与装配式建筑新技术产品博览会，策划、布置发展成就展，宣传动员有关单位、企业等参展参会。</w:t>
      </w:r>
    </w:p>
    <w:p w:rsidR="00D575CE" w:rsidRDefault="00D575CE" w:rsidP="00D575CE">
      <w:pPr>
        <w:spacing w:line="640" w:lineRule="exact"/>
        <w:ind w:right="33" w:firstLineChars="200" w:firstLine="640"/>
        <w:rPr>
          <w:rFonts w:ascii="仿宋_GB2312" w:eastAsia="仿宋_GB2312" w:hAnsi="仿宋" w:cs="仿宋" w:hint="eastAsia"/>
          <w:color w:val="000000"/>
          <w:sz w:val="32"/>
          <w:szCs w:val="32"/>
        </w:rPr>
      </w:pPr>
      <w:r>
        <w:rPr>
          <w:rFonts w:ascii="仿宋_GB2312" w:eastAsia="仿宋_GB2312" w:hAnsi="宋体" w:hint="eastAsia"/>
          <w:color w:val="000000"/>
          <w:sz w:val="32"/>
          <w:szCs w:val="32"/>
        </w:rPr>
        <w:t>2.按照国家、省相关统计报表制度要求，明确专门</w:t>
      </w:r>
      <w:r>
        <w:rPr>
          <w:rFonts w:ascii="仿宋" w:eastAsia="仿宋" w:hAnsi="仿宋" w:cs="仿宋" w:hint="eastAsia"/>
          <w:sz w:val="32"/>
          <w:szCs w:val="32"/>
        </w:rPr>
        <w:t>人员负责调度统计工作，</w:t>
      </w:r>
      <w:r>
        <w:rPr>
          <w:rFonts w:ascii="仿宋_GB2312" w:eastAsia="仿宋_GB2312" w:hAnsi="宋体" w:hint="eastAsia"/>
          <w:color w:val="000000"/>
          <w:sz w:val="32"/>
          <w:szCs w:val="32"/>
        </w:rPr>
        <w:t>及时上报绿色建筑与装配式建筑各类统计报表，并确保数据真实、完整、有效。</w:t>
      </w:r>
    </w:p>
    <w:p w:rsidR="00D575CE" w:rsidRDefault="00D575CE" w:rsidP="00D575CE">
      <w:pPr>
        <w:rPr>
          <w:rFonts w:ascii="Calibri" w:eastAsia="宋体" w:hAnsi="Calibri" w:cs="Times New Roman" w:hint="eastAsia"/>
        </w:rPr>
      </w:pPr>
      <w:r>
        <w:rPr>
          <w:rFonts w:ascii="仿宋_GB2312" w:eastAsia="仿宋_GB2312" w:hAnsi="仿宋" w:cs="仿宋" w:hint="eastAsia"/>
          <w:color w:val="000000"/>
          <w:sz w:val="32"/>
          <w:szCs w:val="32"/>
        </w:rPr>
        <w:t xml:space="preserve">    3.积极参加“节能宣传周”、“低碳日”等专题活动，结合当地实际，扎实开展绿色建筑与装配式建筑宣传培训、技术交流等活动，及时报送辖区内绿色建筑与装配式建筑发展动态信息，总结推广典型经验做法。</w:t>
      </w: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pPr>
        <w:rPr>
          <w:rFonts w:hint="eastAsia"/>
        </w:rPr>
      </w:pPr>
    </w:p>
    <w:p w:rsidR="00D575CE" w:rsidRDefault="00D575CE" w:rsidP="00D575CE">
      <w:pPr>
        <w:adjustRightInd w:val="0"/>
        <w:snapToGrid w:val="0"/>
        <w:spacing w:line="360" w:lineRule="auto"/>
        <w:ind w:right="33"/>
        <w:rPr>
          <w:rFonts w:ascii="黑体" w:eastAsia="黑体" w:hAnsi="黑体" w:cs="黑体"/>
          <w:color w:val="000000"/>
          <w:sz w:val="32"/>
          <w:szCs w:val="32"/>
        </w:rPr>
      </w:pPr>
      <w:r>
        <w:rPr>
          <w:rFonts w:ascii="黑体" w:eastAsia="黑体" w:hAnsi="黑体" w:cs="黑体" w:hint="eastAsia"/>
          <w:color w:val="000000"/>
          <w:sz w:val="32"/>
          <w:szCs w:val="32"/>
        </w:rPr>
        <w:lastRenderedPageBreak/>
        <w:t>附件2：</w:t>
      </w:r>
    </w:p>
    <w:p w:rsidR="00D575CE" w:rsidRDefault="00D575CE" w:rsidP="00D575CE">
      <w:pPr>
        <w:adjustRightInd w:val="0"/>
        <w:snapToGrid w:val="0"/>
        <w:spacing w:line="360" w:lineRule="auto"/>
        <w:ind w:right="33"/>
        <w:jc w:val="center"/>
        <w:rPr>
          <w:rFonts w:ascii="宋体" w:eastAsia="宋体" w:hAnsi="宋体" w:cs="Times New Roman" w:hint="eastAsia"/>
          <w:b/>
          <w:color w:val="000000"/>
          <w:sz w:val="36"/>
          <w:szCs w:val="36"/>
        </w:rPr>
      </w:pPr>
      <w:r w:rsidRPr="00D575CE">
        <w:rPr>
          <w:rFonts w:ascii="宋体" w:hAnsi="宋体" w:hint="eastAsia"/>
          <w:b/>
          <w:color w:val="000000"/>
          <w:sz w:val="32"/>
          <w:szCs w:val="36"/>
        </w:rPr>
        <w:t>2018年山东省绿色建筑与装配式建筑目标任务分解表</w:t>
      </w:r>
    </w:p>
    <w:p w:rsidR="00D575CE" w:rsidRDefault="00D575CE" w:rsidP="00D575CE">
      <w:pPr>
        <w:adjustRightInd w:val="0"/>
        <w:snapToGrid w:val="0"/>
        <w:ind w:firstLineChars="200" w:firstLine="321"/>
        <w:jc w:val="center"/>
        <w:rPr>
          <w:rFonts w:ascii="宋体" w:hAnsi="宋体" w:hint="eastAsia"/>
          <w:b/>
          <w:color w:val="000000"/>
          <w:sz w:val="16"/>
          <w:szCs w:val="36"/>
        </w:rPr>
      </w:pPr>
    </w:p>
    <w:tbl>
      <w:tblPr>
        <w:tblW w:w="9040"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1660"/>
        <w:gridCol w:w="1579"/>
        <w:gridCol w:w="1903"/>
        <w:gridCol w:w="1651"/>
        <w:gridCol w:w="1281"/>
      </w:tblGrid>
      <w:tr w:rsidR="00D575CE" w:rsidTr="00D575CE">
        <w:trPr>
          <w:trHeight w:val="567"/>
          <w:jc w:val="center"/>
        </w:trPr>
        <w:tc>
          <w:tcPr>
            <w:tcW w:w="967" w:type="dxa"/>
            <w:vMerge w:val="restart"/>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城市</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绿色建筑</w:t>
            </w:r>
          </w:p>
        </w:tc>
        <w:tc>
          <w:tcPr>
            <w:tcW w:w="3480" w:type="dxa"/>
            <w:gridSpan w:val="2"/>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装配式建筑</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可再生能源</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建筑节能</w:t>
            </w:r>
          </w:p>
        </w:tc>
      </w:tr>
      <w:tr w:rsidR="00D575CE" w:rsidTr="00D575CE">
        <w:trPr>
          <w:trHeight w:val="1154"/>
          <w:jc w:val="center"/>
        </w:trPr>
        <w:tc>
          <w:tcPr>
            <w:tcW w:w="967" w:type="dxa"/>
            <w:vMerge/>
            <w:tcBorders>
              <w:top w:val="single" w:sz="4" w:space="0" w:color="000000"/>
              <w:left w:val="single" w:sz="4" w:space="0" w:color="000000"/>
              <w:bottom w:val="single" w:sz="4" w:space="0" w:color="000000"/>
              <w:right w:val="single" w:sz="4" w:space="0" w:color="000000"/>
            </w:tcBorders>
            <w:vAlign w:val="center"/>
            <w:hideMark/>
          </w:tcPr>
          <w:p w:rsidR="00D575CE" w:rsidRDefault="00D575CE">
            <w:pPr>
              <w:widowControl/>
              <w:jc w:val="left"/>
              <w:rPr>
                <w:rFonts w:asciiTheme="minorEastAsia" w:hAnsiTheme="minorEastAsia"/>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二星级及以上</w:t>
            </w:r>
            <w:proofErr w:type="gramStart"/>
            <w:r>
              <w:rPr>
                <w:rFonts w:asciiTheme="minorEastAsia" w:hAnsiTheme="minorEastAsia" w:hint="eastAsia"/>
              </w:rPr>
              <w:t>绿建标识</w:t>
            </w:r>
            <w:proofErr w:type="gramEnd"/>
            <w:r>
              <w:rPr>
                <w:rFonts w:asciiTheme="minorEastAsia" w:hAnsiTheme="minorEastAsia" w:hint="eastAsia"/>
              </w:rPr>
              <w:t>面积</w:t>
            </w:r>
          </w:p>
          <w:p w:rsidR="00D575CE" w:rsidRDefault="00D575CE">
            <w:pPr>
              <w:jc w:val="center"/>
              <w:rPr>
                <w:rFonts w:asciiTheme="minorEastAsia" w:hAnsiTheme="minorEastAsia"/>
              </w:rPr>
            </w:pPr>
            <w:r>
              <w:rPr>
                <w:rFonts w:asciiTheme="minorEastAsia" w:hAnsiTheme="minorEastAsia" w:hint="eastAsia"/>
              </w:rPr>
              <w:t>（万㎡）</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新开工装配式民用建筑面积</w:t>
            </w:r>
          </w:p>
          <w:p w:rsidR="00D575CE" w:rsidRDefault="00D575CE">
            <w:pPr>
              <w:jc w:val="center"/>
              <w:rPr>
                <w:rFonts w:asciiTheme="minorEastAsia" w:hAnsiTheme="minorEastAsia"/>
              </w:rPr>
            </w:pPr>
            <w:r>
              <w:rPr>
                <w:rFonts w:asciiTheme="minorEastAsia" w:hAnsiTheme="minorEastAsia" w:hint="eastAsia"/>
              </w:rPr>
              <w:t>（万㎡）</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新出让、划拨土地合同对装配式建筑比例最低要求（%）</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太阳能光热、热泵等应用面积（万㎡）</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rPr>
            </w:pPr>
            <w:r>
              <w:rPr>
                <w:rFonts w:asciiTheme="minorEastAsia" w:hAnsiTheme="minorEastAsia" w:hint="eastAsia"/>
              </w:rPr>
              <w:t>公共建筑</w:t>
            </w:r>
          </w:p>
          <w:p w:rsidR="00D575CE" w:rsidRDefault="00D575CE">
            <w:pPr>
              <w:jc w:val="center"/>
              <w:rPr>
                <w:rFonts w:asciiTheme="minorEastAsia" w:hAnsiTheme="minorEastAsia" w:hint="eastAsia"/>
              </w:rPr>
            </w:pPr>
            <w:r>
              <w:rPr>
                <w:rFonts w:asciiTheme="minorEastAsia" w:hAnsiTheme="minorEastAsia" w:hint="eastAsia"/>
              </w:rPr>
              <w:t>节能改造</w:t>
            </w:r>
          </w:p>
          <w:p w:rsidR="00D575CE" w:rsidRDefault="00D575CE">
            <w:pPr>
              <w:jc w:val="center"/>
              <w:rPr>
                <w:rFonts w:asciiTheme="minorEastAsia" w:hAnsiTheme="minorEastAsia"/>
              </w:rPr>
            </w:pPr>
            <w:r>
              <w:rPr>
                <w:rFonts w:asciiTheme="minorEastAsia" w:hAnsiTheme="minorEastAsia" w:hint="eastAsia"/>
              </w:rPr>
              <w:t>（万㎡）</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济南</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180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470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800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80</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青岛</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160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淄博</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枣庄</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东营</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烟台</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潍坊</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80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250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济宁</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泰安</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威海</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日照</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180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莱芜</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20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临沂</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60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140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德州</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140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聊城</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80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140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滨州</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40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3</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菏泽</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80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120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sz w:val="24"/>
                <w:szCs w:val="24"/>
              </w:rPr>
            </w:pPr>
            <w:r>
              <w:rPr>
                <w:rFonts w:asciiTheme="minorEastAsia" w:hAnsiTheme="minorEastAsia" w:hint="eastAsia"/>
                <w:sz w:val="24"/>
                <w:szCs w:val="24"/>
              </w:rPr>
              <w:t>5</w:t>
            </w:r>
          </w:p>
        </w:tc>
      </w:tr>
      <w:tr w:rsidR="00D575CE" w:rsidTr="00D575CE">
        <w:trPr>
          <w:trHeight w:val="567"/>
          <w:jc w:val="center"/>
        </w:trPr>
        <w:tc>
          <w:tcPr>
            <w:tcW w:w="967"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b/>
                <w:sz w:val="24"/>
                <w:szCs w:val="24"/>
              </w:rPr>
            </w:pPr>
            <w:r>
              <w:rPr>
                <w:rFonts w:asciiTheme="minorEastAsia" w:hAnsiTheme="minorEastAsia" w:hint="eastAsia"/>
                <w:b/>
                <w:sz w:val="24"/>
                <w:szCs w:val="24"/>
              </w:rPr>
              <w:t>合计</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b/>
                <w:sz w:val="24"/>
                <w:szCs w:val="24"/>
              </w:rPr>
            </w:pPr>
            <w:r>
              <w:rPr>
                <w:rFonts w:asciiTheme="minorEastAsia" w:hAnsiTheme="minorEastAsia" w:hint="eastAsia"/>
                <w:b/>
                <w:sz w:val="24"/>
                <w:szCs w:val="24"/>
              </w:rPr>
              <w:t>1400</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b/>
                <w:sz w:val="24"/>
                <w:szCs w:val="24"/>
              </w:rPr>
            </w:pPr>
            <w:r>
              <w:rPr>
                <w:rFonts w:asciiTheme="minorEastAsia" w:hAnsiTheme="minorEastAsia" w:hint="eastAsia"/>
                <w:b/>
                <w:sz w:val="24"/>
                <w:szCs w:val="24"/>
              </w:rPr>
              <w:t>1800</w:t>
            </w:r>
          </w:p>
        </w:tc>
        <w:tc>
          <w:tcPr>
            <w:tcW w:w="1902" w:type="dxa"/>
            <w:tcBorders>
              <w:top w:val="single" w:sz="4" w:space="0" w:color="000000"/>
              <w:left w:val="single" w:sz="4" w:space="0" w:color="000000"/>
              <w:bottom w:val="single" w:sz="4" w:space="0" w:color="000000"/>
              <w:right w:val="single" w:sz="4" w:space="0" w:color="000000"/>
            </w:tcBorders>
            <w:vAlign w:val="center"/>
          </w:tcPr>
          <w:p w:rsidR="00D575CE" w:rsidRDefault="00D575CE">
            <w:pPr>
              <w:jc w:val="center"/>
              <w:rPr>
                <w:rFonts w:asciiTheme="minorEastAsia" w:hAnsiTheme="minorEastAsia"/>
                <w:b/>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b/>
                <w:sz w:val="24"/>
                <w:szCs w:val="24"/>
              </w:rPr>
            </w:pPr>
            <w:r>
              <w:rPr>
                <w:rFonts w:asciiTheme="minorEastAsia" w:hAnsiTheme="minorEastAsia" w:hint="eastAsia"/>
                <w:b/>
                <w:sz w:val="24"/>
                <w:szCs w:val="24"/>
              </w:rPr>
              <w:t>3200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D575CE" w:rsidRDefault="00D575CE">
            <w:pPr>
              <w:jc w:val="center"/>
              <w:rPr>
                <w:rFonts w:asciiTheme="minorEastAsia" w:hAnsiTheme="minorEastAsia"/>
                <w:b/>
                <w:sz w:val="24"/>
                <w:szCs w:val="24"/>
              </w:rPr>
            </w:pPr>
            <w:r>
              <w:rPr>
                <w:rFonts w:asciiTheme="minorEastAsia" w:hAnsiTheme="minorEastAsia" w:hint="eastAsia"/>
                <w:b/>
                <w:sz w:val="24"/>
                <w:szCs w:val="24"/>
              </w:rPr>
              <w:t>417</w:t>
            </w:r>
          </w:p>
        </w:tc>
      </w:tr>
    </w:tbl>
    <w:p w:rsidR="00D575CE" w:rsidRPr="00D575CE" w:rsidRDefault="00D575CE">
      <w:bookmarkStart w:id="0" w:name="_GoBack"/>
      <w:bookmarkEnd w:id="0"/>
    </w:p>
    <w:sectPr w:rsidR="00D575CE" w:rsidRPr="00D57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57" w:rsidRDefault="00B91B57" w:rsidP="00D575CE">
      <w:r>
        <w:separator/>
      </w:r>
    </w:p>
  </w:endnote>
  <w:endnote w:type="continuationSeparator" w:id="0">
    <w:p w:rsidR="00B91B57" w:rsidRDefault="00B91B57" w:rsidP="00D5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57" w:rsidRDefault="00B91B57" w:rsidP="00D575CE">
      <w:r>
        <w:separator/>
      </w:r>
    </w:p>
  </w:footnote>
  <w:footnote w:type="continuationSeparator" w:id="0">
    <w:p w:rsidR="00B91B57" w:rsidRDefault="00B91B57" w:rsidP="00D5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F7C1"/>
    <w:multiLevelType w:val="singleLevel"/>
    <w:tmpl w:val="5AC9F7C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B4"/>
    <w:rsid w:val="00122EB4"/>
    <w:rsid w:val="00711B3E"/>
    <w:rsid w:val="00B91B57"/>
    <w:rsid w:val="00D5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5CE"/>
    <w:rPr>
      <w:sz w:val="18"/>
      <w:szCs w:val="18"/>
    </w:rPr>
  </w:style>
  <w:style w:type="paragraph" w:styleId="a4">
    <w:name w:val="footer"/>
    <w:basedOn w:val="a"/>
    <w:link w:val="Char0"/>
    <w:uiPriority w:val="99"/>
    <w:unhideWhenUsed/>
    <w:rsid w:val="00D575CE"/>
    <w:pPr>
      <w:tabs>
        <w:tab w:val="center" w:pos="4153"/>
        <w:tab w:val="right" w:pos="8306"/>
      </w:tabs>
      <w:snapToGrid w:val="0"/>
      <w:jc w:val="left"/>
    </w:pPr>
    <w:rPr>
      <w:sz w:val="18"/>
      <w:szCs w:val="18"/>
    </w:rPr>
  </w:style>
  <w:style w:type="character" w:customStyle="1" w:styleId="Char0">
    <w:name w:val="页脚 Char"/>
    <w:basedOn w:val="a0"/>
    <w:link w:val="a4"/>
    <w:uiPriority w:val="99"/>
    <w:rsid w:val="00D575CE"/>
    <w:rPr>
      <w:sz w:val="18"/>
      <w:szCs w:val="18"/>
    </w:rPr>
  </w:style>
  <w:style w:type="paragraph" w:styleId="a5">
    <w:name w:val="Balloon Text"/>
    <w:basedOn w:val="a"/>
    <w:link w:val="Char1"/>
    <w:uiPriority w:val="99"/>
    <w:semiHidden/>
    <w:unhideWhenUsed/>
    <w:rsid w:val="00D575CE"/>
    <w:rPr>
      <w:sz w:val="18"/>
      <w:szCs w:val="18"/>
    </w:rPr>
  </w:style>
  <w:style w:type="character" w:customStyle="1" w:styleId="Char1">
    <w:name w:val="批注框文本 Char"/>
    <w:basedOn w:val="a0"/>
    <w:link w:val="a5"/>
    <w:uiPriority w:val="99"/>
    <w:semiHidden/>
    <w:rsid w:val="00D575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5CE"/>
    <w:rPr>
      <w:sz w:val="18"/>
      <w:szCs w:val="18"/>
    </w:rPr>
  </w:style>
  <w:style w:type="paragraph" w:styleId="a4">
    <w:name w:val="footer"/>
    <w:basedOn w:val="a"/>
    <w:link w:val="Char0"/>
    <w:uiPriority w:val="99"/>
    <w:unhideWhenUsed/>
    <w:rsid w:val="00D575CE"/>
    <w:pPr>
      <w:tabs>
        <w:tab w:val="center" w:pos="4153"/>
        <w:tab w:val="right" w:pos="8306"/>
      </w:tabs>
      <w:snapToGrid w:val="0"/>
      <w:jc w:val="left"/>
    </w:pPr>
    <w:rPr>
      <w:sz w:val="18"/>
      <w:szCs w:val="18"/>
    </w:rPr>
  </w:style>
  <w:style w:type="character" w:customStyle="1" w:styleId="Char0">
    <w:name w:val="页脚 Char"/>
    <w:basedOn w:val="a0"/>
    <w:link w:val="a4"/>
    <w:uiPriority w:val="99"/>
    <w:rsid w:val="00D575CE"/>
    <w:rPr>
      <w:sz w:val="18"/>
      <w:szCs w:val="18"/>
    </w:rPr>
  </w:style>
  <w:style w:type="paragraph" w:styleId="a5">
    <w:name w:val="Balloon Text"/>
    <w:basedOn w:val="a"/>
    <w:link w:val="Char1"/>
    <w:uiPriority w:val="99"/>
    <w:semiHidden/>
    <w:unhideWhenUsed/>
    <w:rsid w:val="00D575CE"/>
    <w:rPr>
      <w:sz w:val="18"/>
      <w:szCs w:val="18"/>
    </w:rPr>
  </w:style>
  <w:style w:type="character" w:customStyle="1" w:styleId="Char1">
    <w:name w:val="批注框文本 Char"/>
    <w:basedOn w:val="a0"/>
    <w:link w:val="a5"/>
    <w:uiPriority w:val="99"/>
    <w:semiHidden/>
    <w:rsid w:val="00D575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7939">
      <w:bodyDiv w:val="1"/>
      <w:marLeft w:val="0"/>
      <w:marRight w:val="0"/>
      <w:marTop w:val="0"/>
      <w:marBottom w:val="0"/>
      <w:divBdr>
        <w:top w:val="none" w:sz="0" w:space="0" w:color="auto"/>
        <w:left w:val="none" w:sz="0" w:space="0" w:color="auto"/>
        <w:bottom w:val="none" w:sz="0" w:space="0" w:color="auto"/>
        <w:right w:val="none" w:sz="0" w:space="0" w:color="auto"/>
      </w:divBdr>
    </w:div>
    <w:div w:id="15224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js.gov.cn/picture/0/2b74a60e1b744c789e386fb46ec87e17.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djs.gov.cn/picture/0/b7bd4c0863e54fd6936a4b469b566d6e.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Words>
  <Characters>1824</Characters>
  <Application>Microsoft Office Word</Application>
  <DocSecurity>0</DocSecurity>
  <Lines>15</Lines>
  <Paragraphs>4</Paragraphs>
  <ScaleCrop>false</ScaleCrop>
  <Company>sdm</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tshifeng</dc:creator>
  <cp:keywords/>
  <dc:description/>
  <cp:lastModifiedBy>tshifeng</cp:lastModifiedBy>
  <cp:revision>2</cp:revision>
  <dcterms:created xsi:type="dcterms:W3CDTF">2018-09-15T13:53:00Z</dcterms:created>
  <dcterms:modified xsi:type="dcterms:W3CDTF">2018-09-15T13:55:00Z</dcterms:modified>
</cp:coreProperties>
</file>